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568" w:rsidRDefault="00703568">
      <w:bookmarkStart w:id="0" w:name="_GoBack"/>
      <w:bookmarkEnd w:id="0"/>
    </w:p>
    <w:p w:rsidR="00703568" w:rsidRDefault="00703568">
      <w:pPr>
        <w:tabs>
          <w:tab w:val="center" w:pos="709"/>
        </w:tabs>
        <w:rPr>
          <w:rFonts w:ascii="Cambria" w:eastAsia="Cambria" w:hAnsi="Cambria" w:cs="Cambria"/>
          <w:b/>
          <w:bCs/>
        </w:rPr>
      </w:pPr>
    </w:p>
    <w:p w:rsidR="00703568" w:rsidRDefault="00703568">
      <w:pPr>
        <w:tabs>
          <w:tab w:val="center" w:pos="709"/>
        </w:tabs>
        <w:rPr>
          <w:rFonts w:ascii="Cambria" w:eastAsia="Cambria" w:hAnsi="Cambria" w:cs="Cambria"/>
          <w:b/>
          <w:bCs/>
        </w:rPr>
      </w:pPr>
    </w:p>
    <w:p w:rsidR="00703568" w:rsidRDefault="005E236B">
      <w:pPr>
        <w:tabs>
          <w:tab w:val="center" w:pos="709"/>
        </w:tabs>
        <w:jc w:val="both"/>
        <w:rPr>
          <w:rFonts w:ascii="Cambria" w:eastAsia="Cambria" w:hAnsi="Cambria" w:cs="Cambria"/>
          <w:b/>
          <w:bCs/>
          <w:sz w:val="24"/>
          <w:szCs w:val="24"/>
        </w:rPr>
      </w:pPr>
      <w:r>
        <w:rPr>
          <w:rFonts w:ascii="Cambria" w:eastAsia="Cambria" w:hAnsi="Cambria" w:cs="Cambria"/>
          <w:b/>
          <w:bCs/>
          <w:sz w:val="24"/>
          <w:szCs w:val="24"/>
          <w:lang w:val="de-DE"/>
        </w:rPr>
        <w:t>KATEDR</w:t>
      </w:r>
      <w:r>
        <w:rPr>
          <w:rFonts w:ascii="Cambria" w:eastAsia="Cambria" w:hAnsi="Cambria" w:cs="Cambria"/>
          <w:b/>
          <w:bCs/>
          <w:sz w:val="24"/>
          <w:szCs w:val="24"/>
        </w:rPr>
        <w:t xml:space="preserve">A </w:t>
      </w:r>
      <w:r>
        <w:rPr>
          <w:rFonts w:ascii="Cambria" w:eastAsia="Cambria" w:hAnsi="Cambria" w:cs="Cambria"/>
          <w:b/>
          <w:bCs/>
          <w:sz w:val="24"/>
          <w:szCs w:val="24"/>
          <w:lang w:val="de-DE"/>
        </w:rPr>
        <w:t xml:space="preserve">PRAWA EUROPEJSKIEGO </w:t>
      </w:r>
    </w:p>
    <w:p w:rsidR="00703568" w:rsidRDefault="005E236B">
      <w:pPr>
        <w:tabs>
          <w:tab w:val="center" w:pos="709"/>
        </w:tabs>
        <w:jc w:val="both"/>
        <w:rPr>
          <w:rFonts w:ascii="Cambria" w:eastAsia="Cambria" w:hAnsi="Cambria" w:cs="Cambria"/>
          <w:b/>
          <w:bCs/>
          <w:sz w:val="24"/>
          <w:szCs w:val="24"/>
        </w:rPr>
      </w:pPr>
      <w:r>
        <w:rPr>
          <w:rFonts w:ascii="Cambria" w:eastAsia="Cambria" w:hAnsi="Cambria" w:cs="Cambria"/>
          <w:b/>
          <w:bCs/>
          <w:sz w:val="24"/>
          <w:szCs w:val="24"/>
        </w:rPr>
        <w:t>I KOMPARATYSTYKI PRAWNICZEJ</w:t>
      </w:r>
    </w:p>
    <w:p w:rsidR="00703568" w:rsidRDefault="00703568">
      <w:pPr>
        <w:tabs>
          <w:tab w:val="center" w:pos="709"/>
        </w:tabs>
        <w:rPr>
          <w:rFonts w:ascii="Cambria" w:eastAsia="Cambria" w:hAnsi="Cambria" w:cs="Cambria"/>
          <w:b/>
          <w:bCs/>
          <w:sz w:val="22"/>
          <w:szCs w:val="22"/>
        </w:rPr>
      </w:pPr>
    </w:p>
    <w:p w:rsidR="00703568" w:rsidRDefault="00703568">
      <w:pPr>
        <w:tabs>
          <w:tab w:val="center" w:pos="709"/>
        </w:tabs>
        <w:rPr>
          <w:rFonts w:ascii="Cambria" w:eastAsia="Cambria" w:hAnsi="Cambria" w:cs="Cambria"/>
          <w:b/>
          <w:bCs/>
          <w:sz w:val="22"/>
          <w:szCs w:val="22"/>
        </w:rPr>
      </w:pPr>
    </w:p>
    <w:p w:rsidR="00703568" w:rsidRDefault="005E236B">
      <w:pPr>
        <w:jc w:val="both"/>
        <w:rPr>
          <w:sz w:val="24"/>
          <w:szCs w:val="24"/>
        </w:rPr>
      </w:pPr>
      <w:r>
        <w:rPr>
          <w:rFonts w:ascii="Cambria" w:eastAsia="Cambria" w:hAnsi="Cambria" w:cs="Cambria"/>
          <w:b/>
          <w:bCs/>
          <w:sz w:val="22"/>
          <w:szCs w:val="22"/>
        </w:rPr>
        <w:t>ROK AKADEMICKI 2017/2018</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p>
    <w:p w:rsidR="00703568" w:rsidRDefault="00703568">
      <w:pPr>
        <w:rPr>
          <w:sz w:val="24"/>
          <w:szCs w:val="24"/>
        </w:rPr>
      </w:pPr>
    </w:p>
    <w:p w:rsidR="00703568" w:rsidRDefault="005E236B">
      <w:pPr>
        <w:rPr>
          <w:sz w:val="24"/>
          <w:szCs w:val="24"/>
        </w:rPr>
      </w:pPr>
      <w:r>
        <w:rPr>
          <w:sz w:val="24"/>
          <w:szCs w:val="24"/>
        </w:rPr>
        <w:t xml:space="preserve">        </w:t>
      </w:r>
    </w:p>
    <w:p w:rsidR="00703568" w:rsidRDefault="00703568">
      <w:pPr>
        <w:rPr>
          <w:sz w:val="24"/>
          <w:szCs w:val="24"/>
        </w:rPr>
      </w:pPr>
    </w:p>
    <w:p w:rsidR="00703568" w:rsidRDefault="005E236B">
      <w:pPr>
        <w:tabs>
          <w:tab w:val="center" w:pos="709"/>
          <w:tab w:val="right" w:pos="9046"/>
        </w:tabs>
        <w:rPr>
          <w:rFonts w:ascii="Cambria" w:eastAsia="Cambria" w:hAnsi="Cambria" w:cs="Cambria"/>
          <w:b/>
          <w:bCs/>
          <w:i/>
          <w:iCs/>
          <w:color w:val="4D4D4D"/>
          <w:sz w:val="28"/>
          <w:szCs w:val="28"/>
          <w:u w:color="4D4D4D"/>
        </w:rPr>
      </w:pPr>
      <w:r>
        <w:rPr>
          <w:rFonts w:ascii="Cambria" w:eastAsia="Cambria" w:hAnsi="Cambria" w:cs="Cambria"/>
          <w:b/>
          <w:bCs/>
          <w:i/>
          <w:iCs/>
          <w:color w:val="4D4D4D"/>
          <w:sz w:val="28"/>
          <w:szCs w:val="28"/>
          <w:u w:color="4D4D4D"/>
        </w:rPr>
        <w:t>Aktualności:</w:t>
      </w:r>
    </w:p>
    <w:p w:rsidR="00703568" w:rsidRDefault="00703568">
      <w:pPr>
        <w:tabs>
          <w:tab w:val="center" w:pos="709"/>
          <w:tab w:val="right" w:pos="9046"/>
        </w:tabs>
        <w:rPr>
          <w:rFonts w:ascii="Cambria" w:eastAsia="Cambria" w:hAnsi="Cambria" w:cs="Cambria"/>
          <w:b/>
          <w:bCs/>
          <w:color w:val="4D4D4D"/>
          <w:sz w:val="24"/>
          <w:szCs w:val="24"/>
          <w:u w:color="4D4D4D"/>
        </w:rPr>
      </w:pPr>
    </w:p>
    <w:p w:rsidR="00703568" w:rsidRDefault="005E236B">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333333"/>
          <w:sz w:val="28"/>
          <w:szCs w:val="28"/>
          <w:shd w:val="clear" w:color="auto" w:fill="FFFFFF"/>
        </w:rPr>
      </w:pPr>
      <w:r>
        <w:rPr>
          <w:rFonts w:ascii="Times New Roman" w:hAnsi="Times New Roman"/>
          <w:color w:val="333333"/>
          <w:sz w:val="28"/>
          <w:szCs w:val="28"/>
          <w:shd w:val="clear" w:color="auto" w:fill="FFFFFF"/>
        </w:rPr>
        <w:t xml:space="preserve">Professor </w:t>
      </w:r>
      <w:r>
        <w:rPr>
          <w:rFonts w:ascii="Times New Roman" w:hAnsi="Times New Roman"/>
          <w:b/>
          <w:bCs/>
          <w:color w:val="333333"/>
          <w:sz w:val="28"/>
          <w:szCs w:val="28"/>
          <w:shd w:val="clear" w:color="auto" w:fill="FFFFFF"/>
        </w:rPr>
        <w:t>Tomasz T. Koncewicz</w:t>
      </w:r>
      <w:r>
        <w:rPr>
          <w:rFonts w:ascii="Times New Roman" w:hAnsi="Times New Roman"/>
          <w:color w:val="333333"/>
          <w:sz w:val="28"/>
          <w:szCs w:val="28"/>
          <w:shd w:val="clear" w:color="auto" w:fill="FFFFFF"/>
          <w:lang w:val="en-US"/>
        </w:rPr>
        <w:t>, Director of the Department of European and Comparative Law</w:t>
      </w:r>
      <w:r>
        <w:rPr>
          <w:rFonts w:ascii="Times New Roman" w:hAnsi="Times New Roman"/>
          <w:color w:val="333333"/>
          <w:sz w:val="28"/>
          <w:szCs w:val="28"/>
          <w:shd w:val="clear" w:color="auto" w:fill="FFFFFF"/>
        </w:rPr>
        <w:t>, has been granted fellowship of</w:t>
      </w:r>
      <w:r>
        <w:rPr>
          <w:rFonts w:ascii="Times New Roman" w:hAnsi="Times New Roman"/>
          <w:color w:val="333333"/>
          <w:sz w:val="28"/>
          <w:szCs w:val="28"/>
          <w:shd w:val="clear" w:color="auto" w:fill="FFFFFF"/>
          <w:lang w:val="en-US"/>
        </w:rPr>
        <w:t xml:space="preserve"> The Program in Law and Public Affairs (LAPA) at Princeton University for the 2017-2018 academic year</w:t>
      </w:r>
      <w:r>
        <w:rPr>
          <w:rFonts w:ascii="Times New Roman" w:hAnsi="Times New Roman"/>
          <w:color w:val="333333"/>
          <w:sz w:val="28"/>
          <w:szCs w:val="28"/>
          <w:shd w:val="clear" w:color="auto" w:fill="FFFFFF"/>
        </w:rPr>
        <w:t xml:space="preserve">. </w:t>
      </w:r>
    </w:p>
    <w:p w:rsidR="00703568" w:rsidRDefault="00703568">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333333"/>
          <w:sz w:val="28"/>
          <w:szCs w:val="28"/>
          <w:shd w:val="clear" w:color="auto" w:fill="FFFFFF"/>
        </w:rPr>
      </w:pPr>
    </w:p>
    <w:p w:rsidR="00703568" w:rsidRDefault="005E236B">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333333"/>
          <w:sz w:val="28"/>
          <w:szCs w:val="28"/>
          <w:shd w:val="clear" w:color="auto" w:fill="FFFFFF"/>
        </w:rPr>
      </w:pPr>
      <w:r>
        <w:rPr>
          <w:rFonts w:ascii="Times New Roman" w:hAnsi="Times New Roman"/>
          <w:color w:val="333333"/>
          <w:sz w:val="28"/>
          <w:szCs w:val="28"/>
          <w:shd w:val="clear" w:color="auto" w:fill="FFFFFF"/>
        </w:rPr>
        <w:t xml:space="preserve">Professor Tomasz T. Koncewicz </w:t>
      </w:r>
      <w:r>
        <w:rPr>
          <w:rFonts w:ascii="Times New Roman" w:hAnsi="Times New Roman"/>
          <w:color w:val="333333"/>
          <w:sz w:val="28"/>
          <w:szCs w:val="28"/>
          <w:shd w:val="clear" w:color="auto" w:fill="FFFFFF"/>
          <w:lang w:val="en-US"/>
        </w:rPr>
        <w:t>specializes in strategic litigation before supranational and the constitutional courts and pleaded test cases, on among o</w:t>
      </w:r>
      <w:r>
        <w:rPr>
          <w:rFonts w:ascii="Times New Roman" w:hAnsi="Times New Roman"/>
          <w:color w:val="333333"/>
          <w:sz w:val="28"/>
          <w:szCs w:val="28"/>
          <w:shd w:val="clear" w:color="auto" w:fill="FFFFFF"/>
          <w:lang w:val="en-US"/>
        </w:rPr>
        <w:t>thers, transitional justice, judicial independence, property restitution, right to court, right to privacy and</w:t>
      </w:r>
      <w:r>
        <w:rPr>
          <w:rFonts w:ascii="Times New Roman" w:hAnsi="Times New Roman"/>
          <w:color w:val="333333"/>
          <w:sz w:val="28"/>
          <w:szCs w:val="28"/>
          <w:shd w:val="clear" w:color="auto" w:fill="FFFFFF"/>
        </w:rPr>
        <w:t> </w:t>
      </w:r>
      <w:r>
        <w:rPr>
          <w:rFonts w:ascii="Times New Roman" w:hAnsi="Times New Roman"/>
          <w:color w:val="333333"/>
          <w:sz w:val="28"/>
          <w:szCs w:val="28"/>
          <w:shd w:val="clear" w:color="auto" w:fill="FFFFFF"/>
          <w:lang w:val="en-US"/>
        </w:rPr>
        <w:t>family</w:t>
      </w:r>
      <w:r>
        <w:rPr>
          <w:rFonts w:ascii="Times New Roman" w:hAnsi="Times New Roman"/>
          <w:color w:val="333333"/>
          <w:sz w:val="28"/>
          <w:szCs w:val="28"/>
          <w:shd w:val="clear" w:color="auto" w:fill="FFFFFF"/>
        </w:rPr>
        <w:t> </w:t>
      </w:r>
      <w:r>
        <w:rPr>
          <w:rFonts w:ascii="Times New Roman" w:hAnsi="Times New Roman"/>
          <w:color w:val="333333"/>
          <w:sz w:val="28"/>
          <w:szCs w:val="28"/>
          <w:shd w:val="clear" w:color="auto" w:fill="FFFFFF"/>
          <w:lang w:val="en-US"/>
        </w:rPr>
        <w:t>life,</w:t>
      </w:r>
      <w:r>
        <w:rPr>
          <w:rFonts w:ascii="Times New Roman" w:hAnsi="Times New Roman"/>
          <w:color w:val="333333"/>
          <w:sz w:val="28"/>
          <w:szCs w:val="28"/>
          <w:shd w:val="clear" w:color="auto" w:fill="FFFFFF"/>
        </w:rPr>
        <w:t> </w:t>
      </w:r>
      <w:r>
        <w:rPr>
          <w:rFonts w:ascii="Times New Roman" w:hAnsi="Times New Roman"/>
          <w:color w:val="333333"/>
          <w:sz w:val="28"/>
          <w:szCs w:val="28"/>
          <w:shd w:val="clear" w:color="auto" w:fill="FFFFFF"/>
          <w:lang w:val="en-US"/>
        </w:rPr>
        <w:t>freedom</w:t>
      </w:r>
      <w:r>
        <w:rPr>
          <w:rFonts w:ascii="Times New Roman" w:hAnsi="Times New Roman"/>
          <w:color w:val="333333"/>
          <w:sz w:val="28"/>
          <w:szCs w:val="28"/>
          <w:shd w:val="clear" w:color="auto" w:fill="FFFFFF"/>
        </w:rPr>
        <w:t> </w:t>
      </w:r>
      <w:r>
        <w:rPr>
          <w:rFonts w:ascii="Times New Roman" w:hAnsi="Times New Roman"/>
          <w:color w:val="333333"/>
          <w:sz w:val="28"/>
          <w:szCs w:val="28"/>
          <w:shd w:val="clear" w:color="auto" w:fill="FFFFFF"/>
          <w:lang w:val="en-US"/>
        </w:rPr>
        <w:t>of</w:t>
      </w:r>
      <w:r>
        <w:rPr>
          <w:rFonts w:ascii="Times New Roman" w:hAnsi="Times New Roman"/>
          <w:color w:val="333333"/>
          <w:sz w:val="28"/>
          <w:szCs w:val="28"/>
          <w:shd w:val="clear" w:color="auto" w:fill="FFFFFF"/>
        </w:rPr>
        <w:t> </w:t>
      </w:r>
      <w:r>
        <w:rPr>
          <w:rFonts w:ascii="Times New Roman" w:hAnsi="Times New Roman"/>
          <w:color w:val="333333"/>
          <w:sz w:val="28"/>
          <w:szCs w:val="28"/>
          <w:shd w:val="clear" w:color="auto" w:fill="FFFFFF"/>
          <w:lang w:val="fr-FR"/>
        </w:rPr>
        <w:t>expression,</w:t>
      </w:r>
      <w:r>
        <w:rPr>
          <w:rFonts w:ascii="Times New Roman" w:hAnsi="Times New Roman"/>
          <w:color w:val="333333"/>
          <w:sz w:val="28"/>
          <w:szCs w:val="28"/>
          <w:shd w:val="clear" w:color="auto" w:fill="FFFFFF"/>
        </w:rPr>
        <w:t> </w:t>
      </w:r>
      <w:r>
        <w:rPr>
          <w:rFonts w:ascii="Times New Roman" w:hAnsi="Times New Roman"/>
          <w:color w:val="333333"/>
          <w:sz w:val="28"/>
          <w:szCs w:val="28"/>
          <w:shd w:val="clear" w:color="auto" w:fill="FFFFFF"/>
          <w:lang w:val="en-US"/>
        </w:rPr>
        <w:t>non-retroactivity</w:t>
      </w:r>
      <w:r>
        <w:rPr>
          <w:rFonts w:ascii="Times New Roman" w:hAnsi="Times New Roman"/>
          <w:color w:val="333333"/>
          <w:sz w:val="28"/>
          <w:szCs w:val="28"/>
          <w:shd w:val="clear" w:color="auto" w:fill="FFFFFF"/>
        </w:rPr>
        <w:t> </w:t>
      </w:r>
      <w:r>
        <w:rPr>
          <w:rFonts w:ascii="Times New Roman" w:hAnsi="Times New Roman"/>
          <w:color w:val="333333"/>
          <w:sz w:val="28"/>
          <w:szCs w:val="28"/>
          <w:shd w:val="clear" w:color="auto" w:fill="FFFFFF"/>
          <w:lang w:val="en-US"/>
        </w:rPr>
        <w:t>of</w:t>
      </w:r>
      <w:r>
        <w:rPr>
          <w:rFonts w:ascii="Times New Roman" w:hAnsi="Times New Roman"/>
          <w:color w:val="333333"/>
          <w:sz w:val="28"/>
          <w:szCs w:val="28"/>
          <w:shd w:val="clear" w:color="auto" w:fill="FFFFFF"/>
        </w:rPr>
        <w:t> </w:t>
      </w:r>
      <w:r>
        <w:rPr>
          <w:rFonts w:ascii="Times New Roman" w:hAnsi="Times New Roman"/>
          <w:color w:val="333333"/>
          <w:sz w:val="28"/>
          <w:szCs w:val="28"/>
          <w:shd w:val="clear" w:color="auto" w:fill="FFFFFF"/>
          <w:lang w:val="en-US"/>
        </w:rPr>
        <w:t>the</w:t>
      </w:r>
      <w:r>
        <w:rPr>
          <w:rFonts w:ascii="Times New Roman" w:hAnsi="Times New Roman"/>
          <w:color w:val="333333"/>
          <w:sz w:val="28"/>
          <w:szCs w:val="28"/>
          <w:shd w:val="clear" w:color="auto" w:fill="FFFFFF"/>
        </w:rPr>
        <w:t> </w:t>
      </w:r>
      <w:r>
        <w:rPr>
          <w:rFonts w:ascii="Times New Roman" w:hAnsi="Times New Roman"/>
          <w:color w:val="333333"/>
          <w:sz w:val="28"/>
          <w:szCs w:val="28"/>
          <w:shd w:val="clear" w:color="auto" w:fill="FFFFFF"/>
          <w:lang w:val="en-US"/>
        </w:rPr>
        <w:t>law,</w:t>
      </w:r>
      <w:r>
        <w:rPr>
          <w:rFonts w:ascii="Times New Roman" w:hAnsi="Times New Roman"/>
          <w:color w:val="333333"/>
          <w:sz w:val="28"/>
          <w:szCs w:val="28"/>
          <w:shd w:val="clear" w:color="auto" w:fill="FFFFFF"/>
        </w:rPr>
        <w:t> </w:t>
      </w:r>
      <w:r>
        <w:rPr>
          <w:rFonts w:ascii="Times New Roman" w:hAnsi="Times New Roman"/>
          <w:color w:val="333333"/>
          <w:sz w:val="28"/>
          <w:szCs w:val="28"/>
          <w:shd w:val="clear" w:color="auto" w:fill="FFFFFF"/>
          <w:lang w:val="en-US"/>
        </w:rPr>
        <w:t>presumption</w:t>
      </w:r>
      <w:r>
        <w:rPr>
          <w:rFonts w:ascii="Times New Roman" w:hAnsi="Times New Roman"/>
          <w:color w:val="333333"/>
          <w:sz w:val="28"/>
          <w:szCs w:val="28"/>
          <w:shd w:val="clear" w:color="auto" w:fill="FFFFFF"/>
        </w:rPr>
        <w:t> </w:t>
      </w:r>
      <w:r>
        <w:rPr>
          <w:rFonts w:ascii="Times New Roman" w:hAnsi="Times New Roman"/>
          <w:color w:val="333333"/>
          <w:sz w:val="28"/>
          <w:szCs w:val="28"/>
          <w:shd w:val="clear" w:color="auto" w:fill="FFFFFF"/>
          <w:lang w:val="en-US"/>
        </w:rPr>
        <w:t>of</w:t>
      </w:r>
      <w:r>
        <w:rPr>
          <w:rFonts w:ascii="Times New Roman" w:hAnsi="Times New Roman"/>
          <w:color w:val="333333"/>
          <w:sz w:val="28"/>
          <w:szCs w:val="28"/>
          <w:shd w:val="clear" w:color="auto" w:fill="FFFFFF"/>
        </w:rPr>
        <w:t> </w:t>
      </w:r>
      <w:r>
        <w:rPr>
          <w:rFonts w:ascii="Times New Roman" w:hAnsi="Times New Roman"/>
          <w:color w:val="333333"/>
          <w:sz w:val="28"/>
          <w:szCs w:val="28"/>
          <w:shd w:val="clear" w:color="auto" w:fill="FFFFFF"/>
          <w:lang w:val="en-US"/>
        </w:rPr>
        <w:t xml:space="preserve">innocence, registered partnerships and detention incommunicado. </w:t>
      </w:r>
      <w:r>
        <w:rPr>
          <w:rFonts w:ascii="Times New Roman" w:hAnsi="Times New Roman"/>
          <w:color w:val="333333"/>
          <w:sz w:val="28"/>
          <w:szCs w:val="28"/>
          <w:shd w:val="clear" w:color="auto" w:fill="FFFFFF"/>
          <w:lang w:val="en-US"/>
        </w:rPr>
        <w:t>Professor Koncewicz writes extensively on constitutional law, constitutionalism, EU law, human rights, the role of courts in the process of European integration and procedural law. He has authored more than 200 papers and nine books, most recently, Law wit</w:t>
      </w:r>
      <w:r>
        <w:rPr>
          <w:rFonts w:ascii="Times New Roman" w:hAnsi="Times New Roman"/>
          <w:color w:val="333333"/>
          <w:sz w:val="28"/>
          <w:szCs w:val="28"/>
          <w:shd w:val="clear" w:color="auto" w:fill="FFFFFF"/>
          <w:lang w:val="en-US"/>
        </w:rPr>
        <w:t>h the Human Face (2015). His extensive experience in European law includes serving as the r</w:t>
      </w:r>
      <w:r>
        <w:rPr>
          <w:rFonts w:ascii="Times New Roman" w:hAnsi="Times New Roman"/>
          <w:color w:val="333333"/>
          <w:sz w:val="28"/>
          <w:szCs w:val="28"/>
          <w:shd w:val="clear" w:color="auto" w:fill="FFFFFF"/>
          <w:lang w:val="fr-FR"/>
        </w:rPr>
        <w:t>é</w:t>
      </w:r>
      <w:r>
        <w:rPr>
          <w:rFonts w:ascii="Times New Roman" w:hAnsi="Times New Roman"/>
          <w:color w:val="333333"/>
          <w:sz w:val="28"/>
          <w:szCs w:val="28"/>
          <w:shd w:val="clear" w:color="auto" w:fill="FFFFFF"/>
        </w:rPr>
        <w:t>f</w:t>
      </w:r>
      <w:r>
        <w:rPr>
          <w:rFonts w:ascii="Times New Roman" w:hAnsi="Times New Roman"/>
          <w:color w:val="333333"/>
          <w:sz w:val="28"/>
          <w:szCs w:val="28"/>
          <w:shd w:val="clear" w:color="auto" w:fill="FFFFFF"/>
          <w:lang w:val="fr-FR"/>
        </w:rPr>
        <w:t>é</w:t>
      </w:r>
      <w:r>
        <w:rPr>
          <w:rFonts w:ascii="Times New Roman" w:hAnsi="Times New Roman"/>
          <w:color w:val="333333"/>
          <w:sz w:val="28"/>
          <w:szCs w:val="28"/>
          <w:shd w:val="clear" w:color="auto" w:fill="FFFFFF"/>
          <w:lang w:val="en-US"/>
        </w:rPr>
        <w:t xml:space="preserve">rendaire at the Court of the EU in Luxembourg, and as the legal adviser to the Office of the Polish Constitutional Court. Recently he was a Fulbright Visiting </w:t>
      </w:r>
      <w:r>
        <w:rPr>
          <w:rFonts w:ascii="Times New Roman" w:hAnsi="Times New Roman"/>
          <w:color w:val="333333"/>
          <w:sz w:val="28"/>
          <w:szCs w:val="28"/>
          <w:shd w:val="clear" w:color="auto" w:fill="FFFFFF"/>
          <w:lang w:val="en-US"/>
        </w:rPr>
        <w:t>Professor at University of California, Berkeley, School of Law, where he co-taught comparative constitutional law; 2017 Visiting Professor at the Radzyner Law School at the Interdisciplinary Centre Herzliya, Israel. Professor Koncewicz received law degrees</w:t>
      </w:r>
      <w:r>
        <w:rPr>
          <w:rFonts w:ascii="Times New Roman" w:hAnsi="Times New Roman"/>
          <w:color w:val="333333"/>
          <w:sz w:val="28"/>
          <w:szCs w:val="28"/>
          <w:shd w:val="clear" w:color="auto" w:fill="FFFFFF"/>
          <w:lang w:val="en-US"/>
        </w:rPr>
        <w:t xml:space="preserve"> from the University of Wroclaw and Edinburgh, and is also a graduate of the Academy of European Law in Florence and the Europ</w:t>
      </w:r>
      <w:r>
        <w:rPr>
          <w:rFonts w:ascii="Times New Roman" w:hAnsi="Times New Roman"/>
          <w:color w:val="333333"/>
          <w:sz w:val="28"/>
          <w:szCs w:val="28"/>
          <w:shd w:val="clear" w:color="auto" w:fill="FFFFFF"/>
        </w:rPr>
        <w:t>ä</w:t>
      </w:r>
      <w:r>
        <w:rPr>
          <w:rFonts w:ascii="Times New Roman" w:hAnsi="Times New Roman"/>
          <w:color w:val="333333"/>
          <w:sz w:val="28"/>
          <w:szCs w:val="28"/>
          <w:shd w:val="clear" w:color="auto" w:fill="FFFFFF"/>
          <w:lang w:val="en-US"/>
        </w:rPr>
        <w:t>ische Rechts Akademie in Trier ("Defense Counsel before the International Criminal Court"). His project while at LAPA is entitled</w:t>
      </w:r>
      <w:r>
        <w:rPr>
          <w:rFonts w:ascii="Times New Roman" w:hAnsi="Times New Roman"/>
          <w:color w:val="333333"/>
          <w:sz w:val="28"/>
          <w:szCs w:val="28"/>
          <w:shd w:val="clear" w:color="auto" w:fill="FFFFFF"/>
          <w:lang w:val="en-US"/>
        </w:rPr>
        <w:t xml:space="preserve">, </w:t>
      </w:r>
      <w:r>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lang w:val="en-US"/>
        </w:rPr>
        <w:t>The politics of resentment, European disintegration and constitutional capture: Rethinking the European overlapping consensus?</w:t>
      </w:r>
      <w:r>
        <w:rPr>
          <w:rFonts w:ascii="Times New Roman" w:hAnsi="Times New Roman"/>
          <w:color w:val="333333"/>
          <w:sz w:val="28"/>
          <w:szCs w:val="28"/>
          <w:shd w:val="clear" w:color="auto" w:fill="FFFFFF"/>
        </w:rPr>
        <w:t>”</w:t>
      </w:r>
    </w:p>
    <w:p w:rsidR="00703568" w:rsidRDefault="00703568">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333333"/>
          <w:sz w:val="28"/>
          <w:szCs w:val="28"/>
          <w:shd w:val="clear" w:color="auto" w:fill="FFFFFF"/>
        </w:rPr>
      </w:pPr>
    </w:p>
    <w:p w:rsidR="00703568" w:rsidRDefault="005E236B">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333333"/>
          <w:sz w:val="28"/>
          <w:szCs w:val="28"/>
          <w:shd w:val="clear" w:color="auto" w:fill="FFFFFF"/>
        </w:rPr>
      </w:pPr>
      <w:r>
        <w:rPr>
          <w:rFonts w:ascii="Times New Roman" w:hAnsi="Times New Roman"/>
          <w:color w:val="333333"/>
          <w:sz w:val="28"/>
          <w:szCs w:val="28"/>
          <w:shd w:val="clear" w:color="auto" w:fill="FFFFFF"/>
          <w:lang w:val="en-US"/>
        </w:rPr>
        <w:lastRenderedPageBreak/>
        <w:t>Each class of LAPA fellows brings to Princeton expertise and experience in law and related subjects.</w:t>
      </w:r>
      <w:r>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lang w:val="en-US"/>
        </w:rPr>
        <w:t xml:space="preserve">The fellows spend the </w:t>
      </w:r>
      <w:r>
        <w:rPr>
          <w:rFonts w:ascii="Times New Roman" w:hAnsi="Times New Roman"/>
          <w:color w:val="333333"/>
          <w:sz w:val="28"/>
          <w:szCs w:val="28"/>
          <w:shd w:val="clear" w:color="auto" w:fill="FFFFFF"/>
          <w:lang w:val="en-US"/>
        </w:rPr>
        <w:t xml:space="preserve">academic year working on their own research projects, participating in law-related programs, and engaging with faculty and students. </w:t>
      </w:r>
      <w:r>
        <w:rPr>
          <w:rFonts w:ascii="Times New Roman" w:hAnsi="Times New Roman"/>
          <w:color w:val="333333"/>
          <w:sz w:val="28"/>
          <w:szCs w:val="28"/>
          <w:shd w:val="clear" w:color="auto" w:fill="FFFFFF"/>
        </w:rPr>
        <w:t> </w:t>
      </w:r>
      <w:r>
        <w:rPr>
          <w:rFonts w:ascii="Times New Roman" w:hAnsi="Times New Roman"/>
          <w:color w:val="333333"/>
          <w:sz w:val="28"/>
          <w:szCs w:val="28"/>
          <w:shd w:val="clear" w:color="auto" w:fill="FFFFFF"/>
          <w:lang w:val="en-US"/>
        </w:rPr>
        <w:t xml:space="preserve">Each fellow will give a public seminar, and additionally, some of our fellows teach in undergraduate or graduate academic </w:t>
      </w:r>
      <w:r>
        <w:rPr>
          <w:rFonts w:ascii="Times New Roman" w:hAnsi="Times New Roman"/>
          <w:color w:val="333333"/>
          <w:sz w:val="28"/>
          <w:szCs w:val="28"/>
          <w:shd w:val="clear" w:color="auto" w:fill="FFFFFF"/>
          <w:lang w:val="en-US"/>
        </w:rPr>
        <w:t>departments or centers.</w:t>
      </w:r>
      <w:r>
        <w:rPr>
          <w:rFonts w:ascii="Times New Roman" w:hAnsi="Times New Roman"/>
          <w:color w:val="333333"/>
          <w:sz w:val="28"/>
          <w:szCs w:val="28"/>
          <w:shd w:val="clear" w:color="auto" w:fill="FFFFFF"/>
        </w:rPr>
        <w:t> </w:t>
      </w:r>
      <w:r>
        <w:rPr>
          <w:rFonts w:ascii="Times New Roman" w:hAnsi="Times New Roman"/>
          <w:color w:val="333333"/>
          <w:sz w:val="28"/>
          <w:szCs w:val="28"/>
          <w:shd w:val="clear" w:color="auto" w:fill="FFFFFF"/>
          <w:lang w:val="en-US"/>
        </w:rPr>
        <w:t>LAPA fellows are selected in a competitive process from a large interdisciplinary and international applicant pool.</w:t>
      </w:r>
    </w:p>
    <w:p w:rsidR="00703568" w:rsidRDefault="00703568">
      <w:pPr>
        <w:tabs>
          <w:tab w:val="center" w:pos="709"/>
          <w:tab w:val="right" w:pos="9046"/>
        </w:tabs>
        <w:rPr>
          <w:rFonts w:ascii="Cambria" w:eastAsia="Cambria" w:hAnsi="Cambria" w:cs="Cambria"/>
          <w:b/>
          <w:bCs/>
          <w:color w:val="4D4D4D"/>
          <w:sz w:val="24"/>
          <w:szCs w:val="24"/>
          <w:u w:color="4D4D4D"/>
        </w:rPr>
      </w:pPr>
    </w:p>
    <w:p w:rsidR="00703568" w:rsidRDefault="00703568">
      <w:pPr>
        <w:tabs>
          <w:tab w:val="center" w:pos="709"/>
          <w:tab w:val="right" w:pos="9046"/>
        </w:tabs>
        <w:rPr>
          <w:rFonts w:ascii="Cambria" w:eastAsia="Cambria" w:hAnsi="Cambria" w:cs="Cambria"/>
          <w:b/>
          <w:bCs/>
          <w:color w:val="4D4D4D"/>
          <w:sz w:val="24"/>
          <w:szCs w:val="24"/>
          <w:u w:color="4D4D4D"/>
        </w:rPr>
      </w:pPr>
    </w:p>
    <w:p w:rsidR="00703568" w:rsidRDefault="005E236B">
      <w:pPr>
        <w:suppressAutoHyphens/>
        <w:spacing w:before="240" w:line="360" w:lineRule="auto"/>
        <w:ind w:left="720"/>
        <w:jc w:val="center"/>
        <w:rPr>
          <w:rFonts w:ascii="Times New Roman" w:eastAsia="Times New Roman" w:hAnsi="Times New Roman" w:cs="Times New Roman"/>
          <w:b/>
          <w:bCs/>
          <w:sz w:val="24"/>
          <w:szCs w:val="24"/>
        </w:rPr>
      </w:pPr>
      <w:r>
        <w:rPr>
          <w:rFonts w:ascii="Times New Roman" w:hAnsi="Times New Roman"/>
          <w:b/>
          <w:bCs/>
          <w:sz w:val="24"/>
          <w:szCs w:val="24"/>
        </w:rPr>
        <w:t>Egzamin z przedmiotu Prawo Unii Europejskiej</w:t>
      </w:r>
    </w:p>
    <w:p w:rsidR="00703568" w:rsidRDefault="005E236B">
      <w:pPr>
        <w:suppressAutoHyphens/>
        <w:spacing w:before="240" w:line="360" w:lineRule="auto"/>
        <w:ind w:left="720"/>
        <w:jc w:val="center"/>
        <w:rPr>
          <w:rFonts w:ascii="Times New Roman" w:eastAsia="Times New Roman" w:hAnsi="Times New Roman" w:cs="Times New Roman"/>
          <w:b/>
          <w:bCs/>
          <w:sz w:val="24"/>
          <w:szCs w:val="24"/>
        </w:rPr>
      </w:pPr>
      <w:r>
        <w:rPr>
          <w:rFonts w:ascii="Times New Roman" w:hAnsi="Times New Roman"/>
          <w:b/>
          <w:bCs/>
          <w:sz w:val="24"/>
          <w:szCs w:val="24"/>
          <w:lang w:val="it-IT"/>
        </w:rPr>
        <w:t xml:space="preserve">II </w:t>
      </w:r>
      <w:r>
        <w:rPr>
          <w:rFonts w:ascii="Times New Roman" w:hAnsi="Times New Roman"/>
          <w:b/>
          <w:bCs/>
          <w:sz w:val="24"/>
          <w:szCs w:val="24"/>
        </w:rPr>
        <w:t>rok Prawa</w:t>
      </w:r>
    </w:p>
    <w:p w:rsidR="00703568" w:rsidRDefault="005E236B">
      <w:pPr>
        <w:suppressAutoHyphens/>
        <w:spacing w:before="240" w:line="360" w:lineRule="auto"/>
        <w:ind w:left="720"/>
        <w:jc w:val="both"/>
        <w:rPr>
          <w:rFonts w:ascii="Cambria" w:eastAsia="Cambria" w:hAnsi="Cambria" w:cs="Cambria"/>
          <w:b/>
          <w:bCs/>
          <w:sz w:val="24"/>
          <w:szCs w:val="24"/>
        </w:rPr>
      </w:pPr>
      <w:r>
        <w:rPr>
          <w:rFonts w:ascii="Cambria" w:eastAsia="Cambria" w:hAnsi="Cambria" w:cs="Cambria"/>
          <w:b/>
          <w:bCs/>
          <w:sz w:val="24"/>
          <w:szCs w:val="24"/>
        </w:rPr>
        <w:t>Zalecana literatura:</w:t>
      </w:r>
    </w:p>
    <w:p w:rsidR="00703568" w:rsidRDefault="005E236B">
      <w:pPr>
        <w:numPr>
          <w:ilvl w:val="0"/>
          <w:numId w:val="2"/>
        </w:numPr>
        <w:suppressAutoHyphens/>
        <w:spacing w:before="24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Z. Brodecki, Prawo integracji. </w:t>
      </w:r>
      <w:r>
        <w:rPr>
          <w:rFonts w:ascii="Times New Roman" w:hAnsi="Times New Roman"/>
          <w:sz w:val="24"/>
          <w:szCs w:val="24"/>
        </w:rPr>
        <w:t>Konstytucja dla Europy, Warszawa 2011</w:t>
      </w:r>
    </w:p>
    <w:p w:rsidR="00703568" w:rsidRDefault="005E236B">
      <w:pPr>
        <w:numPr>
          <w:ilvl w:val="0"/>
          <w:numId w:val="2"/>
        </w:numPr>
        <w:suppressAutoHyphens/>
        <w:spacing w:before="240" w:line="360" w:lineRule="auto"/>
        <w:jc w:val="both"/>
        <w:rPr>
          <w:rFonts w:ascii="Times New Roman" w:eastAsia="Times New Roman" w:hAnsi="Times New Roman" w:cs="Times New Roman"/>
          <w:sz w:val="24"/>
          <w:szCs w:val="24"/>
        </w:rPr>
      </w:pPr>
      <w:r>
        <w:rPr>
          <w:rFonts w:ascii="Times New Roman" w:hAnsi="Times New Roman"/>
          <w:sz w:val="24"/>
          <w:szCs w:val="24"/>
        </w:rPr>
        <w:t>Z. Brodecki (red.), Europa s</w:t>
      </w:r>
      <w:r>
        <w:rPr>
          <w:rFonts w:ascii="Times New Roman" w:hAnsi="Times New Roman"/>
          <w:sz w:val="24"/>
          <w:szCs w:val="24"/>
        </w:rPr>
        <w:t>ę</w:t>
      </w:r>
      <w:r>
        <w:rPr>
          <w:rFonts w:ascii="Times New Roman" w:hAnsi="Times New Roman"/>
          <w:sz w:val="24"/>
          <w:szCs w:val="24"/>
        </w:rPr>
        <w:t>dzi</w:t>
      </w:r>
      <w:r>
        <w:rPr>
          <w:rFonts w:ascii="Times New Roman" w:hAnsi="Times New Roman"/>
          <w:sz w:val="24"/>
          <w:szCs w:val="24"/>
          <w:lang w:val="es-ES_tradnl"/>
        </w:rPr>
        <w:t>ó</w:t>
      </w:r>
      <w:r>
        <w:rPr>
          <w:rFonts w:ascii="Times New Roman" w:hAnsi="Times New Roman"/>
          <w:sz w:val="24"/>
          <w:szCs w:val="24"/>
          <w:lang w:val="en-US"/>
        </w:rPr>
        <w:t>w</w:t>
      </w:r>
      <w:r>
        <w:rPr>
          <w:rFonts w:ascii="Times New Roman" w:hAnsi="Times New Roman"/>
          <w:sz w:val="24"/>
          <w:szCs w:val="24"/>
        </w:rPr>
        <w:t>, Warszawa 2007</w:t>
      </w:r>
    </w:p>
    <w:p w:rsidR="00703568" w:rsidRDefault="005E236B">
      <w:pPr>
        <w:numPr>
          <w:ilvl w:val="0"/>
          <w:numId w:val="2"/>
        </w:numPr>
        <w:suppressAutoHyphens/>
        <w:spacing w:before="240" w:line="360" w:lineRule="auto"/>
        <w:jc w:val="both"/>
        <w:rPr>
          <w:rFonts w:ascii="Times New Roman" w:eastAsia="Times New Roman" w:hAnsi="Times New Roman" w:cs="Times New Roman"/>
          <w:sz w:val="24"/>
          <w:szCs w:val="24"/>
        </w:rPr>
      </w:pPr>
      <w:r>
        <w:rPr>
          <w:rFonts w:ascii="Times New Roman" w:hAnsi="Times New Roman"/>
          <w:sz w:val="24"/>
          <w:szCs w:val="24"/>
        </w:rPr>
        <w:t>Z. Brodecki, Filozofia prawa europejskiego, [w.] Gda</w:t>
      </w:r>
      <w:r>
        <w:rPr>
          <w:rFonts w:ascii="Times New Roman" w:hAnsi="Times New Roman"/>
          <w:sz w:val="24"/>
          <w:szCs w:val="24"/>
        </w:rPr>
        <w:t>ń</w:t>
      </w:r>
      <w:r>
        <w:rPr>
          <w:rFonts w:ascii="Times New Roman" w:hAnsi="Times New Roman"/>
          <w:sz w:val="24"/>
          <w:szCs w:val="24"/>
        </w:rPr>
        <w:t>skie Studia Prawnicze, Tom XVIII/2007 , s. 59- 124</w:t>
      </w:r>
    </w:p>
    <w:p w:rsidR="00703568" w:rsidRDefault="005E236B">
      <w:pPr>
        <w:numPr>
          <w:ilvl w:val="0"/>
          <w:numId w:val="2"/>
        </w:numPr>
        <w:suppressAutoHyphens/>
        <w:spacing w:before="240" w:line="360" w:lineRule="auto"/>
        <w:jc w:val="both"/>
        <w:rPr>
          <w:rFonts w:ascii="Times New Roman" w:eastAsia="Times New Roman" w:hAnsi="Times New Roman" w:cs="Times New Roman"/>
          <w:sz w:val="24"/>
          <w:szCs w:val="24"/>
        </w:rPr>
      </w:pPr>
      <w:r>
        <w:rPr>
          <w:rFonts w:ascii="Times New Roman" w:hAnsi="Times New Roman"/>
          <w:sz w:val="24"/>
          <w:szCs w:val="24"/>
        </w:rPr>
        <w:t>J. Barcz (red.), Prawo Unii Europejskiej, Warszawa 2015</w:t>
      </w:r>
    </w:p>
    <w:p w:rsidR="00703568" w:rsidRDefault="005E236B">
      <w:pPr>
        <w:numPr>
          <w:ilvl w:val="0"/>
          <w:numId w:val="2"/>
        </w:numPr>
        <w:suppressAutoHyphens/>
        <w:spacing w:before="24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 M. Keni</w:t>
      </w:r>
      <w:r>
        <w:rPr>
          <w:rFonts w:ascii="Times New Roman" w:hAnsi="Times New Roman"/>
          <w:sz w:val="24"/>
          <w:szCs w:val="24"/>
        </w:rPr>
        <w:t>g- Witkowska (red.), Prawo Instytucjonalne UE, wyd. 7, Warszawa 2017</w:t>
      </w:r>
    </w:p>
    <w:p w:rsidR="00703568" w:rsidRDefault="005E236B">
      <w:pPr>
        <w:numPr>
          <w:ilvl w:val="0"/>
          <w:numId w:val="2"/>
        </w:numPr>
        <w:suppressAutoHyphens/>
        <w:spacing w:before="240" w:line="360" w:lineRule="auto"/>
        <w:jc w:val="both"/>
        <w:rPr>
          <w:rFonts w:ascii="Times New Roman" w:eastAsia="Times New Roman" w:hAnsi="Times New Roman" w:cs="Times New Roman"/>
          <w:sz w:val="24"/>
          <w:szCs w:val="24"/>
        </w:rPr>
      </w:pPr>
      <w:r>
        <w:rPr>
          <w:rFonts w:ascii="Times New Roman" w:hAnsi="Times New Roman"/>
          <w:sz w:val="24"/>
          <w:szCs w:val="24"/>
        </w:rPr>
        <w:t>T. T. Koncewicz, Prawo z ludzk</w:t>
      </w:r>
      <w:r>
        <w:rPr>
          <w:rFonts w:ascii="Times New Roman" w:hAnsi="Times New Roman"/>
          <w:sz w:val="24"/>
          <w:szCs w:val="24"/>
        </w:rPr>
        <w:t xml:space="preserve">ą </w:t>
      </w:r>
      <w:r>
        <w:rPr>
          <w:rFonts w:ascii="Times New Roman" w:hAnsi="Times New Roman"/>
          <w:sz w:val="24"/>
          <w:szCs w:val="24"/>
        </w:rPr>
        <w:t>twarz</w:t>
      </w:r>
      <w:r>
        <w:rPr>
          <w:rFonts w:ascii="Times New Roman" w:hAnsi="Times New Roman"/>
          <w:sz w:val="24"/>
          <w:szCs w:val="24"/>
        </w:rPr>
        <w:t>ą</w:t>
      </w:r>
      <w:r>
        <w:rPr>
          <w:rFonts w:ascii="Times New Roman" w:hAnsi="Times New Roman"/>
          <w:sz w:val="24"/>
          <w:szCs w:val="24"/>
        </w:rPr>
        <w:t>, Cz</w:t>
      </w:r>
      <w:r>
        <w:rPr>
          <w:rFonts w:ascii="Times New Roman" w:hAnsi="Times New Roman"/>
          <w:sz w:val="24"/>
          <w:szCs w:val="24"/>
        </w:rPr>
        <w:t xml:space="preserve">ęść </w:t>
      </w:r>
      <w:r>
        <w:rPr>
          <w:rFonts w:ascii="Times New Roman" w:hAnsi="Times New Roman"/>
          <w:sz w:val="24"/>
          <w:szCs w:val="24"/>
        </w:rPr>
        <w:t>III- Unia Europejska, Warszawa 2015</w:t>
      </w:r>
    </w:p>
    <w:p w:rsidR="00703568" w:rsidRDefault="005E236B">
      <w:pPr>
        <w:numPr>
          <w:ilvl w:val="0"/>
          <w:numId w:val="2"/>
        </w:numPr>
        <w:suppressAutoHyphens/>
        <w:spacing w:before="240" w:line="360" w:lineRule="auto"/>
        <w:jc w:val="both"/>
        <w:rPr>
          <w:rFonts w:ascii="Times New Roman" w:eastAsia="Times New Roman" w:hAnsi="Times New Roman" w:cs="Times New Roman"/>
          <w:sz w:val="24"/>
          <w:szCs w:val="24"/>
        </w:rPr>
      </w:pPr>
      <w:r>
        <w:rPr>
          <w:rFonts w:ascii="Times New Roman" w:hAnsi="Times New Roman"/>
          <w:sz w:val="24"/>
          <w:szCs w:val="24"/>
        </w:rPr>
        <w:t>A. Zawidzka -</w:t>
      </w:r>
      <w:r>
        <w:rPr>
          <w:rFonts w:ascii="Times New Roman" w:hAnsi="Times New Roman"/>
          <w:sz w:val="24"/>
          <w:szCs w:val="24"/>
        </w:rPr>
        <w:t>Ł</w:t>
      </w:r>
      <w:r>
        <w:rPr>
          <w:rFonts w:ascii="Times New Roman" w:hAnsi="Times New Roman"/>
          <w:sz w:val="24"/>
          <w:szCs w:val="24"/>
        </w:rPr>
        <w:t xml:space="preserve">ojek, A. </w:t>
      </w:r>
      <w:r>
        <w:rPr>
          <w:rFonts w:ascii="Times New Roman" w:hAnsi="Times New Roman"/>
          <w:sz w:val="24"/>
          <w:szCs w:val="24"/>
        </w:rPr>
        <w:t>Ł</w:t>
      </w:r>
      <w:r>
        <w:rPr>
          <w:rFonts w:ascii="Times New Roman" w:hAnsi="Times New Roman"/>
          <w:sz w:val="24"/>
          <w:szCs w:val="24"/>
        </w:rPr>
        <w:t>azowski, R. Grzeszczak (red.), Prawo Unii Europejskiej, Vademecum, wyd. 2, Warsza</w:t>
      </w:r>
      <w:r>
        <w:rPr>
          <w:rFonts w:ascii="Times New Roman" w:hAnsi="Times New Roman"/>
          <w:sz w:val="24"/>
          <w:szCs w:val="24"/>
        </w:rPr>
        <w:t>wa 2015</w:t>
      </w:r>
    </w:p>
    <w:p w:rsidR="00703568" w:rsidRDefault="005E236B">
      <w:pPr>
        <w:numPr>
          <w:ilvl w:val="0"/>
          <w:numId w:val="2"/>
        </w:numPr>
        <w:suppressAutoHyphens/>
        <w:spacing w:before="24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S. Weatherill, Cases and Materials on EU Law, 12 ed, Oxford </w:t>
      </w:r>
    </w:p>
    <w:p w:rsidR="00703568" w:rsidRDefault="005E236B">
      <w:pPr>
        <w:numPr>
          <w:ilvl w:val="0"/>
          <w:numId w:val="2"/>
        </w:numPr>
        <w:suppressAutoHyphens/>
        <w:spacing w:before="240" w:line="360" w:lineRule="auto"/>
        <w:jc w:val="both"/>
        <w:rPr>
          <w:rFonts w:ascii="Times New Roman" w:eastAsia="Times New Roman" w:hAnsi="Times New Roman" w:cs="Times New Roman"/>
          <w:sz w:val="24"/>
          <w:szCs w:val="24"/>
        </w:rPr>
      </w:pPr>
      <w:r>
        <w:rPr>
          <w:rFonts w:ascii="Times New Roman" w:hAnsi="Times New Roman"/>
          <w:sz w:val="24"/>
          <w:szCs w:val="24"/>
        </w:rPr>
        <w:t>L. Woods, P. Watson, M. Costa, EU Law, 13 ed, Oxford</w:t>
      </w:r>
    </w:p>
    <w:p w:rsidR="00703568" w:rsidRDefault="005E236B">
      <w:pPr>
        <w:suppressAutoHyphens/>
        <w:spacing w:before="240" w:line="360" w:lineRule="auto"/>
        <w:jc w:val="both"/>
        <w:rPr>
          <w:rFonts w:ascii="Times New Roman" w:eastAsia="Times New Roman" w:hAnsi="Times New Roman" w:cs="Times New Roman"/>
          <w:b/>
          <w:bCs/>
          <w:sz w:val="24"/>
          <w:szCs w:val="24"/>
        </w:rPr>
      </w:pPr>
      <w:r>
        <w:rPr>
          <w:rFonts w:ascii="Times New Roman" w:hAnsi="Times New Roman"/>
          <w:sz w:val="24"/>
          <w:szCs w:val="24"/>
        </w:rPr>
        <w:t>a tak</w:t>
      </w:r>
      <w:r>
        <w:rPr>
          <w:rFonts w:ascii="Times New Roman" w:hAnsi="Times New Roman"/>
          <w:sz w:val="24"/>
          <w:szCs w:val="24"/>
        </w:rPr>
        <w:t>ż</w:t>
      </w:r>
      <w:r>
        <w:rPr>
          <w:rFonts w:ascii="Times New Roman" w:hAnsi="Times New Roman"/>
          <w:sz w:val="24"/>
          <w:szCs w:val="24"/>
        </w:rPr>
        <w:t>e:</w:t>
      </w:r>
      <w:r>
        <w:rPr>
          <w:rFonts w:ascii="Times New Roman" w:hAnsi="Times New Roman"/>
          <w:b/>
          <w:bCs/>
          <w:sz w:val="24"/>
          <w:szCs w:val="24"/>
        </w:rPr>
        <w:t xml:space="preserve"> </w:t>
      </w:r>
    </w:p>
    <w:p w:rsidR="00703568" w:rsidRDefault="005E236B">
      <w:pPr>
        <w:numPr>
          <w:ilvl w:val="0"/>
          <w:numId w:val="2"/>
        </w:numPr>
        <w:suppressAutoHyphens/>
        <w:spacing w:before="240" w:line="360" w:lineRule="auto"/>
        <w:jc w:val="both"/>
        <w:rPr>
          <w:rFonts w:ascii="Times New Roman" w:eastAsia="Times New Roman" w:hAnsi="Times New Roman" w:cs="Times New Roman"/>
          <w:b/>
          <w:bCs/>
          <w:sz w:val="24"/>
          <w:szCs w:val="24"/>
          <w:lang w:val="en-US"/>
        </w:rPr>
      </w:pPr>
      <w:r>
        <w:rPr>
          <w:rFonts w:ascii="Times New Roman" w:hAnsi="Times New Roman"/>
          <w:b/>
          <w:bCs/>
          <w:sz w:val="24"/>
          <w:szCs w:val="24"/>
          <w:lang w:val="en-US"/>
        </w:rPr>
        <w:lastRenderedPageBreak/>
        <w:t>A. Wr</w:t>
      </w:r>
      <w:r>
        <w:rPr>
          <w:rFonts w:ascii="Times New Roman" w:hAnsi="Times New Roman"/>
          <w:b/>
          <w:bCs/>
          <w:sz w:val="24"/>
          <w:szCs w:val="24"/>
          <w:lang w:val="en-US"/>
        </w:rPr>
        <w:t>ó</w:t>
      </w:r>
      <w:r>
        <w:rPr>
          <w:rFonts w:ascii="Times New Roman" w:hAnsi="Times New Roman"/>
          <w:b/>
          <w:bCs/>
          <w:sz w:val="24"/>
          <w:szCs w:val="24"/>
          <w:lang w:val="en-US"/>
        </w:rPr>
        <w:t xml:space="preserve">bel, EPS 5/12, s. 1 + C- 399/09 </w:t>
      </w:r>
    </w:p>
    <w:p w:rsidR="00703568" w:rsidRDefault="005E236B">
      <w:pPr>
        <w:numPr>
          <w:ilvl w:val="0"/>
          <w:numId w:val="2"/>
        </w:numPr>
        <w:suppressAutoHyphens/>
        <w:spacing w:before="240" w:line="360" w:lineRule="auto"/>
        <w:jc w:val="both"/>
        <w:rPr>
          <w:rFonts w:ascii="Times New Roman" w:eastAsia="Times New Roman" w:hAnsi="Times New Roman" w:cs="Times New Roman"/>
          <w:b/>
          <w:bCs/>
          <w:sz w:val="24"/>
          <w:szCs w:val="24"/>
          <w:lang w:val="en-US"/>
        </w:rPr>
      </w:pPr>
      <w:r>
        <w:rPr>
          <w:rFonts w:ascii="Times New Roman" w:hAnsi="Times New Roman"/>
          <w:b/>
          <w:bCs/>
          <w:sz w:val="24"/>
          <w:szCs w:val="24"/>
          <w:lang w:val="en-US"/>
        </w:rPr>
        <w:t xml:space="preserve">E. </w:t>
      </w:r>
      <w:r>
        <w:rPr>
          <w:rFonts w:ascii="Times New Roman" w:hAnsi="Times New Roman"/>
          <w:b/>
          <w:bCs/>
          <w:sz w:val="24"/>
          <w:szCs w:val="24"/>
          <w:lang w:val="en-US"/>
        </w:rPr>
        <w:t>Łę</w:t>
      </w:r>
      <w:r>
        <w:rPr>
          <w:rFonts w:ascii="Times New Roman" w:hAnsi="Times New Roman"/>
          <w:b/>
          <w:bCs/>
          <w:sz w:val="24"/>
          <w:szCs w:val="24"/>
          <w:lang w:val="en-US"/>
        </w:rPr>
        <w:t>towska EPS 12/11, EPS 1/12</w:t>
      </w:r>
    </w:p>
    <w:p w:rsidR="00703568" w:rsidRDefault="005E236B">
      <w:pPr>
        <w:numPr>
          <w:ilvl w:val="0"/>
          <w:numId w:val="2"/>
        </w:numPr>
        <w:suppressAutoHyphens/>
        <w:spacing w:before="240" w:line="360" w:lineRule="auto"/>
        <w:jc w:val="both"/>
        <w:rPr>
          <w:rFonts w:ascii="Times New Roman" w:eastAsia="Times New Roman" w:hAnsi="Times New Roman" w:cs="Times New Roman"/>
          <w:b/>
          <w:bCs/>
          <w:sz w:val="24"/>
          <w:szCs w:val="24"/>
          <w:lang w:val="en-US"/>
        </w:rPr>
      </w:pPr>
      <w:r>
        <w:rPr>
          <w:rFonts w:ascii="Times New Roman" w:hAnsi="Times New Roman"/>
          <w:b/>
          <w:bCs/>
          <w:sz w:val="24"/>
          <w:szCs w:val="24"/>
          <w:lang w:val="en-US"/>
        </w:rPr>
        <w:t>K. W</w:t>
      </w:r>
      <w:r>
        <w:rPr>
          <w:rFonts w:ascii="Times New Roman" w:hAnsi="Times New Roman"/>
          <w:b/>
          <w:bCs/>
          <w:sz w:val="24"/>
          <w:szCs w:val="24"/>
          <w:lang w:val="en-US"/>
        </w:rPr>
        <w:t>ó</w:t>
      </w:r>
      <w:r>
        <w:rPr>
          <w:rFonts w:ascii="Times New Roman" w:hAnsi="Times New Roman"/>
          <w:b/>
          <w:bCs/>
          <w:sz w:val="24"/>
          <w:szCs w:val="24"/>
          <w:lang w:val="en-US"/>
        </w:rPr>
        <w:t>jtowicz, EPS 11/11, s. 4</w:t>
      </w:r>
    </w:p>
    <w:p w:rsidR="00703568" w:rsidRDefault="005E236B">
      <w:pPr>
        <w:numPr>
          <w:ilvl w:val="0"/>
          <w:numId w:val="2"/>
        </w:numPr>
        <w:suppressAutoHyphens/>
        <w:spacing w:before="240" w:line="360" w:lineRule="auto"/>
        <w:jc w:val="both"/>
        <w:rPr>
          <w:rFonts w:ascii="Times New Roman" w:eastAsia="Times New Roman" w:hAnsi="Times New Roman" w:cs="Times New Roman"/>
          <w:b/>
          <w:bCs/>
          <w:sz w:val="24"/>
          <w:szCs w:val="24"/>
          <w:lang w:val="en-US"/>
        </w:rPr>
      </w:pPr>
      <w:r>
        <w:rPr>
          <w:rFonts w:ascii="Times New Roman" w:hAnsi="Times New Roman"/>
          <w:b/>
          <w:bCs/>
          <w:sz w:val="24"/>
          <w:szCs w:val="24"/>
          <w:lang w:val="en-US"/>
        </w:rPr>
        <w:t xml:space="preserve">E. </w:t>
      </w:r>
      <w:r>
        <w:rPr>
          <w:rFonts w:ascii="Times New Roman" w:hAnsi="Times New Roman"/>
          <w:b/>
          <w:bCs/>
          <w:sz w:val="24"/>
          <w:szCs w:val="24"/>
          <w:lang w:val="en-US"/>
        </w:rPr>
        <w:t>Łę</w:t>
      </w:r>
      <w:r>
        <w:rPr>
          <w:rFonts w:ascii="Times New Roman" w:hAnsi="Times New Roman"/>
          <w:b/>
          <w:bCs/>
          <w:sz w:val="24"/>
          <w:szCs w:val="24"/>
          <w:lang w:val="en-US"/>
        </w:rPr>
        <w:t>towska, EPS 12/11,</w:t>
      </w:r>
      <w:r>
        <w:rPr>
          <w:rFonts w:ascii="Times New Roman" w:hAnsi="Times New Roman"/>
          <w:b/>
          <w:bCs/>
          <w:sz w:val="24"/>
          <w:szCs w:val="24"/>
          <w:lang w:val="en-US"/>
        </w:rPr>
        <w:t xml:space="preserve"> s. 4</w:t>
      </w:r>
    </w:p>
    <w:p w:rsidR="00703568" w:rsidRDefault="005E236B">
      <w:pPr>
        <w:numPr>
          <w:ilvl w:val="0"/>
          <w:numId w:val="2"/>
        </w:numPr>
        <w:suppressAutoHyphens/>
        <w:spacing w:before="240" w:line="360" w:lineRule="auto"/>
        <w:jc w:val="both"/>
        <w:rPr>
          <w:rFonts w:ascii="Times New Roman" w:eastAsia="Times New Roman" w:hAnsi="Times New Roman" w:cs="Times New Roman"/>
          <w:b/>
          <w:bCs/>
          <w:sz w:val="24"/>
          <w:szCs w:val="24"/>
          <w:lang w:val="en-US"/>
        </w:rPr>
      </w:pPr>
      <w:r>
        <w:rPr>
          <w:rFonts w:ascii="Times New Roman" w:hAnsi="Times New Roman"/>
          <w:b/>
          <w:bCs/>
          <w:sz w:val="24"/>
          <w:szCs w:val="24"/>
          <w:lang w:val="en-US"/>
        </w:rPr>
        <w:t>A. Bodnar, EPS 10/10, s. 38</w:t>
      </w:r>
    </w:p>
    <w:p w:rsidR="00703568" w:rsidRDefault="005E236B">
      <w:pPr>
        <w:numPr>
          <w:ilvl w:val="0"/>
          <w:numId w:val="2"/>
        </w:numPr>
        <w:suppressAutoHyphens/>
        <w:spacing w:before="240" w:line="360" w:lineRule="auto"/>
        <w:jc w:val="both"/>
        <w:rPr>
          <w:rFonts w:ascii="Times New Roman" w:eastAsia="Times New Roman" w:hAnsi="Times New Roman" w:cs="Times New Roman"/>
          <w:b/>
          <w:bCs/>
          <w:sz w:val="24"/>
          <w:szCs w:val="24"/>
        </w:rPr>
      </w:pPr>
      <w:r>
        <w:rPr>
          <w:rFonts w:ascii="Times New Roman" w:hAnsi="Times New Roman"/>
          <w:b/>
          <w:bCs/>
          <w:sz w:val="24"/>
          <w:szCs w:val="24"/>
        </w:rPr>
        <w:t xml:space="preserve">E. </w:t>
      </w:r>
      <w:r>
        <w:rPr>
          <w:rFonts w:ascii="Times New Roman" w:hAnsi="Times New Roman"/>
          <w:b/>
          <w:bCs/>
          <w:sz w:val="24"/>
          <w:szCs w:val="24"/>
        </w:rPr>
        <w:t>Łę</w:t>
      </w:r>
      <w:r>
        <w:rPr>
          <w:rFonts w:ascii="Times New Roman" w:hAnsi="Times New Roman"/>
          <w:b/>
          <w:bCs/>
          <w:sz w:val="24"/>
          <w:szCs w:val="24"/>
        </w:rPr>
        <w:t>towska, EPS 10/11, s. 14</w:t>
      </w:r>
    </w:p>
    <w:p w:rsidR="00703568" w:rsidRDefault="005E236B">
      <w:pPr>
        <w:numPr>
          <w:ilvl w:val="0"/>
          <w:numId w:val="2"/>
        </w:numPr>
        <w:suppressAutoHyphens/>
        <w:spacing w:before="240" w:line="360" w:lineRule="auto"/>
        <w:jc w:val="both"/>
        <w:rPr>
          <w:rFonts w:ascii="Times New Roman" w:eastAsia="Times New Roman" w:hAnsi="Times New Roman" w:cs="Times New Roman"/>
          <w:b/>
          <w:bCs/>
          <w:sz w:val="24"/>
          <w:szCs w:val="24"/>
        </w:rPr>
      </w:pPr>
      <w:r>
        <w:rPr>
          <w:rFonts w:ascii="Times New Roman" w:hAnsi="Times New Roman"/>
          <w:b/>
          <w:bCs/>
          <w:sz w:val="24"/>
          <w:szCs w:val="24"/>
        </w:rPr>
        <w:t xml:space="preserve">E. </w:t>
      </w:r>
      <w:r>
        <w:rPr>
          <w:rFonts w:ascii="Times New Roman" w:hAnsi="Times New Roman"/>
          <w:b/>
          <w:bCs/>
          <w:sz w:val="24"/>
          <w:szCs w:val="24"/>
        </w:rPr>
        <w:t>Łę</w:t>
      </w:r>
      <w:r>
        <w:rPr>
          <w:rFonts w:ascii="Times New Roman" w:hAnsi="Times New Roman"/>
          <w:b/>
          <w:bCs/>
          <w:sz w:val="24"/>
          <w:szCs w:val="24"/>
        </w:rPr>
        <w:t>towska, M. Safian, L. Garlicki, EPS 10/10, s.4</w:t>
      </w:r>
    </w:p>
    <w:p w:rsidR="00703568" w:rsidRDefault="005E236B">
      <w:pPr>
        <w:numPr>
          <w:ilvl w:val="0"/>
          <w:numId w:val="2"/>
        </w:numPr>
        <w:suppressAutoHyphens/>
        <w:spacing w:before="240" w:line="360" w:lineRule="auto"/>
        <w:jc w:val="both"/>
        <w:rPr>
          <w:rFonts w:ascii="Times New Roman" w:eastAsia="Times New Roman" w:hAnsi="Times New Roman" w:cs="Times New Roman"/>
          <w:b/>
          <w:bCs/>
          <w:sz w:val="24"/>
          <w:szCs w:val="24"/>
        </w:rPr>
      </w:pPr>
      <w:r>
        <w:rPr>
          <w:rFonts w:ascii="Times New Roman" w:hAnsi="Times New Roman"/>
          <w:b/>
          <w:bCs/>
          <w:sz w:val="24"/>
          <w:szCs w:val="24"/>
        </w:rPr>
        <w:t xml:space="preserve">E. </w:t>
      </w:r>
      <w:r>
        <w:rPr>
          <w:rFonts w:ascii="Times New Roman" w:hAnsi="Times New Roman"/>
          <w:b/>
          <w:bCs/>
          <w:sz w:val="24"/>
          <w:szCs w:val="24"/>
        </w:rPr>
        <w:t>Łę</w:t>
      </w:r>
      <w:r>
        <w:rPr>
          <w:rFonts w:ascii="Times New Roman" w:hAnsi="Times New Roman"/>
          <w:b/>
          <w:bCs/>
          <w:sz w:val="24"/>
          <w:szCs w:val="24"/>
        </w:rPr>
        <w:t>towska, Mi</w:t>
      </w:r>
      <w:r>
        <w:rPr>
          <w:rFonts w:ascii="Times New Roman" w:hAnsi="Times New Roman"/>
          <w:b/>
          <w:bCs/>
          <w:sz w:val="24"/>
          <w:szCs w:val="24"/>
        </w:rPr>
        <w:t>ę</w:t>
      </w:r>
      <w:r>
        <w:rPr>
          <w:rFonts w:ascii="Times New Roman" w:hAnsi="Times New Roman"/>
          <w:b/>
          <w:bCs/>
          <w:sz w:val="24"/>
          <w:szCs w:val="24"/>
        </w:rPr>
        <w:t>dzy Scyll</w:t>
      </w:r>
      <w:r>
        <w:rPr>
          <w:rFonts w:ascii="Times New Roman" w:hAnsi="Times New Roman"/>
          <w:b/>
          <w:bCs/>
          <w:sz w:val="24"/>
          <w:szCs w:val="24"/>
        </w:rPr>
        <w:t xml:space="preserve">ą </w:t>
      </w:r>
      <w:r>
        <w:rPr>
          <w:rFonts w:ascii="Times New Roman" w:hAnsi="Times New Roman"/>
          <w:b/>
          <w:bCs/>
          <w:sz w:val="24"/>
          <w:szCs w:val="24"/>
          <w:lang w:val="en-US"/>
        </w:rPr>
        <w:t>i Charybd</w:t>
      </w:r>
      <w:r>
        <w:rPr>
          <w:rFonts w:ascii="Times New Roman" w:hAnsi="Times New Roman"/>
          <w:b/>
          <w:bCs/>
          <w:sz w:val="24"/>
          <w:szCs w:val="24"/>
        </w:rPr>
        <w:t>ą</w:t>
      </w:r>
      <w:r>
        <w:rPr>
          <w:rFonts w:ascii="Times New Roman" w:hAnsi="Times New Roman"/>
          <w:b/>
          <w:bCs/>
          <w:sz w:val="24"/>
          <w:szCs w:val="24"/>
        </w:rPr>
        <w:t>, EPS 1/05</w:t>
      </w:r>
    </w:p>
    <w:p w:rsidR="00703568" w:rsidRDefault="005E236B">
      <w:pPr>
        <w:numPr>
          <w:ilvl w:val="0"/>
          <w:numId w:val="2"/>
        </w:numPr>
        <w:suppressAutoHyphens/>
        <w:spacing w:before="240" w:line="360" w:lineRule="auto"/>
        <w:jc w:val="both"/>
        <w:rPr>
          <w:rFonts w:ascii="Times New Roman" w:eastAsia="Times New Roman" w:hAnsi="Times New Roman" w:cs="Times New Roman"/>
          <w:b/>
          <w:bCs/>
          <w:sz w:val="24"/>
          <w:szCs w:val="24"/>
        </w:rPr>
      </w:pPr>
      <w:r>
        <w:rPr>
          <w:rFonts w:ascii="Times New Roman" w:hAnsi="Times New Roman"/>
          <w:b/>
          <w:bCs/>
          <w:sz w:val="24"/>
          <w:szCs w:val="24"/>
        </w:rPr>
        <w:t>A. Wyrozumska, EPS 3/07</w:t>
      </w:r>
    </w:p>
    <w:p w:rsidR="00703568" w:rsidRDefault="005E236B">
      <w:pPr>
        <w:numPr>
          <w:ilvl w:val="0"/>
          <w:numId w:val="2"/>
        </w:numPr>
        <w:suppressAutoHyphens/>
        <w:spacing w:before="240" w:line="360" w:lineRule="auto"/>
        <w:jc w:val="both"/>
        <w:rPr>
          <w:rFonts w:ascii="Times New Roman" w:eastAsia="Times New Roman" w:hAnsi="Times New Roman" w:cs="Times New Roman"/>
          <w:b/>
          <w:bCs/>
          <w:sz w:val="24"/>
          <w:szCs w:val="24"/>
        </w:rPr>
      </w:pPr>
      <w:r>
        <w:rPr>
          <w:rFonts w:ascii="Times New Roman" w:hAnsi="Times New Roman"/>
          <w:b/>
          <w:bCs/>
          <w:sz w:val="24"/>
          <w:szCs w:val="24"/>
        </w:rPr>
        <w:t xml:space="preserve">E. </w:t>
      </w:r>
      <w:r>
        <w:rPr>
          <w:rFonts w:ascii="Times New Roman" w:hAnsi="Times New Roman"/>
          <w:b/>
          <w:bCs/>
          <w:sz w:val="24"/>
          <w:szCs w:val="24"/>
        </w:rPr>
        <w:t>Łę</w:t>
      </w:r>
      <w:r>
        <w:rPr>
          <w:rFonts w:ascii="Times New Roman" w:hAnsi="Times New Roman"/>
          <w:b/>
          <w:bCs/>
          <w:sz w:val="24"/>
          <w:szCs w:val="24"/>
        </w:rPr>
        <w:t>towska, PiP 4/05</w:t>
      </w:r>
    </w:p>
    <w:p w:rsidR="00703568" w:rsidRDefault="005E236B">
      <w:pPr>
        <w:numPr>
          <w:ilvl w:val="0"/>
          <w:numId w:val="2"/>
        </w:numPr>
        <w:suppressAutoHyphens/>
        <w:spacing w:before="240" w:line="360" w:lineRule="auto"/>
        <w:jc w:val="both"/>
        <w:rPr>
          <w:rFonts w:ascii="Times New Roman" w:eastAsia="Times New Roman" w:hAnsi="Times New Roman" w:cs="Times New Roman"/>
          <w:b/>
          <w:bCs/>
          <w:sz w:val="24"/>
          <w:szCs w:val="24"/>
          <w:lang w:val="de-DE"/>
        </w:rPr>
      </w:pPr>
      <w:r>
        <w:rPr>
          <w:rFonts w:ascii="Times New Roman" w:hAnsi="Times New Roman"/>
          <w:b/>
          <w:bCs/>
          <w:sz w:val="24"/>
          <w:szCs w:val="24"/>
          <w:lang w:val="de-DE"/>
        </w:rPr>
        <w:t>A. Wi</w:t>
      </w:r>
      <w:r>
        <w:rPr>
          <w:rFonts w:ascii="Times New Roman" w:hAnsi="Times New Roman"/>
          <w:b/>
          <w:bCs/>
          <w:sz w:val="24"/>
          <w:szCs w:val="24"/>
        </w:rPr>
        <w:t>ś</w:t>
      </w:r>
      <w:r>
        <w:rPr>
          <w:rFonts w:ascii="Times New Roman" w:hAnsi="Times New Roman"/>
          <w:b/>
          <w:bCs/>
          <w:sz w:val="24"/>
          <w:szCs w:val="24"/>
        </w:rPr>
        <w:t>niewski, GSP/ 2011/ XXVI</w:t>
      </w:r>
    </w:p>
    <w:p w:rsidR="00703568" w:rsidRDefault="005E236B">
      <w:pPr>
        <w:numPr>
          <w:ilvl w:val="0"/>
          <w:numId w:val="2"/>
        </w:numPr>
        <w:suppressAutoHyphens/>
        <w:spacing w:before="240" w:line="360" w:lineRule="auto"/>
        <w:jc w:val="both"/>
        <w:rPr>
          <w:rFonts w:ascii="Times New Roman" w:eastAsia="Times New Roman" w:hAnsi="Times New Roman" w:cs="Times New Roman"/>
          <w:b/>
          <w:bCs/>
          <w:sz w:val="24"/>
          <w:szCs w:val="24"/>
        </w:rPr>
      </w:pPr>
      <w:r>
        <w:rPr>
          <w:rFonts w:ascii="Times New Roman" w:hAnsi="Times New Roman"/>
          <w:b/>
          <w:bCs/>
          <w:sz w:val="24"/>
          <w:szCs w:val="24"/>
        </w:rPr>
        <w:t xml:space="preserve">L. Garlicki, </w:t>
      </w:r>
      <w:r>
        <w:rPr>
          <w:rFonts w:ascii="Times New Roman" w:hAnsi="Times New Roman"/>
          <w:b/>
          <w:bCs/>
          <w:sz w:val="24"/>
          <w:szCs w:val="24"/>
        </w:rPr>
        <w:t>EPS 4/08</w:t>
      </w:r>
    </w:p>
    <w:p w:rsidR="00703568" w:rsidRDefault="005E236B">
      <w:pPr>
        <w:numPr>
          <w:ilvl w:val="0"/>
          <w:numId w:val="2"/>
        </w:numPr>
        <w:suppressAutoHyphens/>
        <w:spacing w:before="240" w:line="360" w:lineRule="auto"/>
        <w:jc w:val="both"/>
        <w:rPr>
          <w:rFonts w:ascii="Times New Roman" w:eastAsia="Times New Roman" w:hAnsi="Times New Roman" w:cs="Times New Roman"/>
          <w:b/>
          <w:bCs/>
          <w:sz w:val="24"/>
          <w:szCs w:val="24"/>
        </w:rPr>
      </w:pPr>
      <w:r>
        <w:rPr>
          <w:rFonts w:ascii="Times New Roman" w:hAnsi="Times New Roman"/>
          <w:b/>
          <w:bCs/>
          <w:sz w:val="24"/>
          <w:szCs w:val="24"/>
        </w:rPr>
        <w:t>M. Nowicki, EPS 1/10</w:t>
      </w:r>
    </w:p>
    <w:p w:rsidR="00703568" w:rsidRDefault="005E236B">
      <w:pPr>
        <w:numPr>
          <w:ilvl w:val="0"/>
          <w:numId w:val="2"/>
        </w:numPr>
        <w:suppressAutoHyphens/>
        <w:spacing w:before="240" w:line="360" w:lineRule="auto"/>
        <w:jc w:val="both"/>
        <w:rPr>
          <w:rFonts w:ascii="Times New Roman" w:eastAsia="Times New Roman" w:hAnsi="Times New Roman" w:cs="Times New Roman"/>
          <w:b/>
          <w:bCs/>
          <w:sz w:val="24"/>
          <w:szCs w:val="24"/>
        </w:rPr>
      </w:pPr>
      <w:r>
        <w:rPr>
          <w:rFonts w:ascii="Times New Roman" w:hAnsi="Times New Roman"/>
          <w:b/>
          <w:bCs/>
          <w:sz w:val="24"/>
          <w:szCs w:val="24"/>
        </w:rPr>
        <w:t xml:space="preserve">E. </w:t>
      </w:r>
      <w:r>
        <w:rPr>
          <w:rFonts w:ascii="Times New Roman" w:hAnsi="Times New Roman"/>
          <w:b/>
          <w:bCs/>
          <w:sz w:val="24"/>
          <w:szCs w:val="24"/>
        </w:rPr>
        <w:t>Łę</w:t>
      </w:r>
      <w:r>
        <w:rPr>
          <w:rFonts w:ascii="Times New Roman" w:hAnsi="Times New Roman"/>
          <w:b/>
          <w:bCs/>
          <w:sz w:val="24"/>
          <w:szCs w:val="24"/>
        </w:rPr>
        <w:t>towska, Trudno</w:t>
      </w:r>
      <w:r>
        <w:rPr>
          <w:rFonts w:ascii="Times New Roman" w:hAnsi="Times New Roman"/>
          <w:b/>
          <w:bCs/>
          <w:sz w:val="24"/>
          <w:szCs w:val="24"/>
        </w:rPr>
        <w:t>ś</w:t>
      </w:r>
      <w:r>
        <w:rPr>
          <w:rFonts w:ascii="Times New Roman" w:hAnsi="Times New Roman"/>
          <w:b/>
          <w:bCs/>
          <w:sz w:val="24"/>
          <w:szCs w:val="24"/>
        </w:rPr>
        <w:t>ci w przyswajaniu w Polsce praktyki pa</w:t>
      </w:r>
      <w:r>
        <w:rPr>
          <w:rFonts w:ascii="Times New Roman" w:hAnsi="Times New Roman"/>
          <w:b/>
          <w:bCs/>
          <w:sz w:val="24"/>
          <w:szCs w:val="24"/>
        </w:rPr>
        <w:t>ń</w:t>
      </w:r>
      <w:r>
        <w:rPr>
          <w:rFonts w:ascii="Times New Roman" w:hAnsi="Times New Roman"/>
          <w:b/>
          <w:bCs/>
          <w:sz w:val="24"/>
          <w:szCs w:val="24"/>
        </w:rPr>
        <w:t>stwa prawa [w.] Zasada demokratycznego pa</w:t>
      </w:r>
      <w:r>
        <w:rPr>
          <w:rFonts w:ascii="Times New Roman" w:hAnsi="Times New Roman"/>
          <w:b/>
          <w:bCs/>
          <w:sz w:val="24"/>
          <w:szCs w:val="24"/>
        </w:rPr>
        <w:t>ń</w:t>
      </w:r>
      <w:r>
        <w:rPr>
          <w:rFonts w:ascii="Times New Roman" w:hAnsi="Times New Roman"/>
          <w:b/>
          <w:bCs/>
          <w:sz w:val="24"/>
          <w:szCs w:val="24"/>
        </w:rPr>
        <w:t>stwa prawnego w Konstytucji RP, red. S. Wronkowska, Warszawa, 2006, s. 198</w:t>
      </w:r>
    </w:p>
    <w:p w:rsidR="00703568" w:rsidRDefault="005E236B">
      <w:pPr>
        <w:numPr>
          <w:ilvl w:val="0"/>
          <w:numId w:val="2"/>
        </w:numPr>
        <w:suppressAutoHyphens/>
        <w:spacing w:before="240" w:line="360" w:lineRule="auto"/>
        <w:jc w:val="both"/>
        <w:rPr>
          <w:rFonts w:ascii="Times New Roman" w:eastAsia="Times New Roman" w:hAnsi="Times New Roman" w:cs="Times New Roman"/>
          <w:b/>
          <w:bCs/>
          <w:sz w:val="24"/>
          <w:szCs w:val="24"/>
          <w:lang w:val="de-DE"/>
        </w:rPr>
      </w:pPr>
      <w:r>
        <w:rPr>
          <w:rFonts w:ascii="Times New Roman" w:hAnsi="Times New Roman"/>
          <w:b/>
          <w:bCs/>
          <w:sz w:val="24"/>
          <w:szCs w:val="24"/>
          <w:lang w:val="de-DE"/>
        </w:rPr>
        <w:t>K. W</w:t>
      </w:r>
      <w:r>
        <w:rPr>
          <w:rFonts w:ascii="Times New Roman" w:hAnsi="Times New Roman"/>
          <w:b/>
          <w:bCs/>
          <w:sz w:val="24"/>
          <w:szCs w:val="24"/>
          <w:lang w:val="es-ES_tradnl"/>
        </w:rPr>
        <w:t>ó</w:t>
      </w:r>
      <w:r>
        <w:rPr>
          <w:rFonts w:ascii="Times New Roman" w:hAnsi="Times New Roman"/>
          <w:b/>
          <w:bCs/>
          <w:sz w:val="24"/>
          <w:szCs w:val="24"/>
        </w:rPr>
        <w:t>jtowicz, Przegl</w:t>
      </w:r>
      <w:r>
        <w:rPr>
          <w:rFonts w:ascii="Times New Roman" w:hAnsi="Times New Roman"/>
          <w:b/>
          <w:bCs/>
          <w:sz w:val="24"/>
          <w:szCs w:val="24"/>
        </w:rPr>
        <w:t>ą</w:t>
      </w:r>
      <w:r>
        <w:rPr>
          <w:rFonts w:ascii="Times New Roman" w:hAnsi="Times New Roman"/>
          <w:b/>
          <w:bCs/>
          <w:sz w:val="24"/>
          <w:szCs w:val="24"/>
        </w:rPr>
        <w:t>d Sejmowy 6/2009</w:t>
      </w:r>
    </w:p>
    <w:p w:rsidR="00703568" w:rsidRDefault="005E236B">
      <w:pPr>
        <w:numPr>
          <w:ilvl w:val="0"/>
          <w:numId w:val="2"/>
        </w:numPr>
        <w:suppressAutoHyphens/>
        <w:spacing w:before="240" w:line="360" w:lineRule="auto"/>
        <w:jc w:val="both"/>
        <w:rPr>
          <w:rFonts w:ascii="Times New Roman" w:eastAsia="Times New Roman" w:hAnsi="Times New Roman" w:cs="Times New Roman"/>
          <w:b/>
          <w:bCs/>
          <w:sz w:val="24"/>
          <w:szCs w:val="24"/>
          <w:lang w:val="de-DE"/>
        </w:rPr>
      </w:pPr>
      <w:r>
        <w:rPr>
          <w:rFonts w:ascii="Times New Roman" w:hAnsi="Times New Roman"/>
          <w:b/>
          <w:bCs/>
          <w:sz w:val="24"/>
          <w:szCs w:val="24"/>
          <w:lang w:val="de-DE"/>
        </w:rPr>
        <w:t>K. W</w:t>
      </w:r>
      <w:r>
        <w:rPr>
          <w:rFonts w:ascii="Times New Roman" w:hAnsi="Times New Roman"/>
          <w:b/>
          <w:bCs/>
          <w:sz w:val="24"/>
          <w:szCs w:val="24"/>
          <w:lang w:val="es-ES_tradnl"/>
        </w:rPr>
        <w:t>ó</w:t>
      </w:r>
      <w:r>
        <w:rPr>
          <w:rFonts w:ascii="Times New Roman" w:hAnsi="Times New Roman"/>
          <w:b/>
          <w:bCs/>
          <w:sz w:val="24"/>
          <w:szCs w:val="24"/>
        </w:rPr>
        <w:t>jtowicz</w:t>
      </w:r>
      <w:r>
        <w:rPr>
          <w:rFonts w:ascii="Times New Roman" w:hAnsi="Times New Roman"/>
          <w:b/>
          <w:bCs/>
          <w:sz w:val="24"/>
          <w:szCs w:val="24"/>
        </w:rPr>
        <w:t>, Przegl</w:t>
      </w:r>
      <w:r>
        <w:rPr>
          <w:rFonts w:ascii="Times New Roman" w:hAnsi="Times New Roman"/>
          <w:b/>
          <w:bCs/>
          <w:sz w:val="24"/>
          <w:szCs w:val="24"/>
        </w:rPr>
        <w:t>ą</w:t>
      </w:r>
      <w:r>
        <w:rPr>
          <w:rFonts w:ascii="Times New Roman" w:hAnsi="Times New Roman"/>
          <w:b/>
          <w:bCs/>
          <w:sz w:val="24"/>
          <w:szCs w:val="24"/>
        </w:rPr>
        <w:t>d Sejmowy 4/2010</w:t>
      </w:r>
    </w:p>
    <w:p w:rsidR="00703568" w:rsidRDefault="005E236B">
      <w:pPr>
        <w:numPr>
          <w:ilvl w:val="0"/>
          <w:numId w:val="2"/>
        </w:numPr>
        <w:suppressAutoHyphens/>
        <w:spacing w:before="240" w:line="360" w:lineRule="auto"/>
        <w:jc w:val="both"/>
        <w:rPr>
          <w:rFonts w:ascii="Times New Roman" w:eastAsia="Times New Roman" w:hAnsi="Times New Roman" w:cs="Times New Roman"/>
          <w:b/>
          <w:bCs/>
          <w:sz w:val="24"/>
          <w:szCs w:val="24"/>
        </w:rPr>
      </w:pPr>
      <w:r>
        <w:rPr>
          <w:rFonts w:ascii="Times New Roman" w:hAnsi="Times New Roman"/>
          <w:b/>
          <w:bCs/>
          <w:sz w:val="24"/>
          <w:szCs w:val="24"/>
        </w:rPr>
        <w:t>T.T. Koncewicz, Trybuna</w:t>
      </w:r>
      <w:r>
        <w:rPr>
          <w:rFonts w:ascii="Times New Roman" w:hAnsi="Times New Roman"/>
          <w:b/>
          <w:bCs/>
          <w:sz w:val="24"/>
          <w:szCs w:val="24"/>
        </w:rPr>
        <w:t xml:space="preserve">ł </w:t>
      </w:r>
      <w:r>
        <w:rPr>
          <w:rFonts w:ascii="Times New Roman" w:hAnsi="Times New Roman"/>
          <w:b/>
          <w:bCs/>
          <w:sz w:val="24"/>
          <w:szCs w:val="24"/>
        </w:rPr>
        <w:t>Konstytucyjny wobec prawa europejskiego, Przegl</w:t>
      </w:r>
      <w:r>
        <w:rPr>
          <w:rFonts w:ascii="Times New Roman" w:hAnsi="Times New Roman"/>
          <w:b/>
          <w:bCs/>
          <w:sz w:val="24"/>
          <w:szCs w:val="24"/>
        </w:rPr>
        <w:t>ą</w:t>
      </w:r>
      <w:r>
        <w:rPr>
          <w:rFonts w:ascii="Times New Roman" w:hAnsi="Times New Roman"/>
          <w:b/>
          <w:bCs/>
          <w:sz w:val="24"/>
          <w:szCs w:val="24"/>
        </w:rPr>
        <w:t>d sejmowy, 2/2012 i 3/2012</w:t>
      </w:r>
    </w:p>
    <w:p w:rsidR="00703568" w:rsidRDefault="005E236B">
      <w:pPr>
        <w:numPr>
          <w:ilvl w:val="0"/>
          <w:numId w:val="2"/>
        </w:numPr>
        <w:suppressAutoHyphens/>
        <w:spacing w:before="240" w:line="360" w:lineRule="auto"/>
        <w:jc w:val="both"/>
        <w:rPr>
          <w:rFonts w:ascii="Times New Roman" w:eastAsia="Times New Roman" w:hAnsi="Times New Roman" w:cs="Times New Roman"/>
          <w:b/>
          <w:bCs/>
          <w:sz w:val="24"/>
          <w:szCs w:val="24"/>
        </w:rPr>
      </w:pPr>
      <w:r>
        <w:rPr>
          <w:rFonts w:ascii="Times New Roman" w:hAnsi="Times New Roman"/>
          <w:b/>
          <w:bCs/>
          <w:sz w:val="24"/>
          <w:szCs w:val="24"/>
        </w:rPr>
        <w:t>T. T. Koncewicz, Radca Prawny 2/2006</w:t>
      </w:r>
    </w:p>
    <w:p w:rsidR="00703568" w:rsidRDefault="005E236B">
      <w:pPr>
        <w:numPr>
          <w:ilvl w:val="0"/>
          <w:numId w:val="2"/>
        </w:numPr>
        <w:suppressAutoHyphens/>
        <w:spacing w:before="240" w:line="360" w:lineRule="auto"/>
        <w:jc w:val="both"/>
        <w:rPr>
          <w:rFonts w:ascii="Times New Roman" w:eastAsia="Times New Roman" w:hAnsi="Times New Roman" w:cs="Times New Roman"/>
          <w:b/>
          <w:bCs/>
          <w:sz w:val="24"/>
          <w:szCs w:val="24"/>
        </w:rPr>
      </w:pPr>
      <w:r>
        <w:rPr>
          <w:rFonts w:ascii="Times New Roman" w:hAnsi="Times New Roman"/>
          <w:b/>
          <w:bCs/>
          <w:sz w:val="24"/>
          <w:szCs w:val="24"/>
        </w:rPr>
        <w:t>T.T. Koncewicz, 11-12/2007</w:t>
      </w:r>
    </w:p>
    <w:p w:rsidR="00703568" w:rsidRDefault="005E236B">
      <w:pPr>
        <w:numPr>
          <w:ilvl w:val="0"/>
          <w:numId w:val="2"/>
        </w:numPr>
        <w:suppressAutoHyphens/>
        <w:spacing w:before="240" w:line="360" w:lineRule="auto"/>
        <w:jc w:val="both"/>
        <w:rPr>
          <w:rFonts w:ascii="Times New Roman" w:eastAsia="Times New Roman" w:hAnsi="Times New Roman" w:cs="Times New Roman"/>
          <w:b/>
          <w:bCs/>
          <w:sz w:val="24"/>
          <w:szCs w:val="24"/>
        </w:rPr>
      </w:pPr>
      <w:r>
        <w:rPr>
          <w:rFonts w:ascii="Times New Roman" w:hAnsi="Times New Roman"/>
          <w:b/>
          <w:bCs/>
          <w:sz w:val="24"/>
          <w:szCs w:val="24"/>
        </w:rPr>
        <w:t>T.T. Koncewicz, Palestra 3-4/2008</w:t>
      </w:r>
    </w:p>
    <w:p w:rsidR="00703568" w:rsidRDefault="005E236B">
      <w:pPr>
        <w:numPr>
          <w:ilvl w:val="0"/>
          <w:numId w:val="2"/>
        </w:numPr>
        <w:suppressAutoHyphens/>
        <w:spacing w:before="240" w:line="360" w:lineRule="auto"/>
        <w:jc w:val="both"/>
        <w:rPr>
          <w:rFonts w:ascii="Times New Roman" w:eastAsia="Times New Roman" w:hAnsi="Times New Roman" w:cs="Times New Roman"/>
          <w:b/>
          <w:bCs/>
          <w:sz w:val="24"/>
          <w:szCs w:val="24"/>
        </w:rPr>
      </w:pPr>
      <w:r>
        <w:rPr>
          <w:rFonts w:ascii="Times New Roman" w:hAnsi="Times New Roman"/>
          <w:b/>
          <w:bCs/>
          <w:sz w:val="24"/>
          <w:szCs w:val="24"/>
        </w:rPr>
        <w:t>T.T. Koncewicz, Palestra 5-6/ 20</w:t>
      </w:r>
      <w:r>
        <w:rPr>
          <w:rFonts w:ascii="Times New Roman" w:hAnsi="Times New Roman"/>
          <w:b/>
          <w:bCs/>
          <w:sz w:val="24"/>
          <w:szCs w:val="24"/>
        </w:rPr>
        <w:t>10</w:t>
      </w:r>
    </w:p>
    <w:p w:rsidR="00703568" w:rsidRDefault="005E236B">
      <w:pPr>
        <w:numPr>
          <w:ilvl w:val="0"/>
          <w:numId w:val="2"/>
        </w:numPr>
        <w:suppressAutoHyphens/>
        <w:spacing w:before="240" w:after="160" w:line="360" w:lineRule="auto"/>
        <w:jc w:val="both"/>
        <w:rPr>
          <w:rFonts w:ascii="Times New Roman" w:eastAsia="Times New Roman" w:hAnsi="Times New Roman" w:cs="Times New Roman"/>
          <w:b/>
          <w:bCs/>
          <w:sz w:val="24"/>
          <w:szCs w:val="24"/>
        </w:rPr>
      </w:pPr>
      <w:r>
        <w:rPr>
          <w:rFonts w:ascii="Times New Roman" w:hAnsi="Times New Roman"/>
          <w:b/>
          <w:bCs/>
          <w:sz w:val="24"/>
          <w:szCs w:val="24"/>
        </w:rPr>
        <w:t>T.T. Koncewicz, Palestra  3-2/ 2010</w:t>
      </w:r>
    </w:p>
    <w:p w:rsidR="00703568" w:rsidRDefault="005E236B">
      <w:pPr>
        <w:numPr>
          <w:ilvl w:val="0"/>
          <w:numId w:val="2"/>
        </w:numPr>
        <w:suppressAutoHyphens/>
        <w:spacing w:after="160"/>
        <w:jc w:val="both"/>
        <w:rPr>
          <w:rFonts w:ascii="Times New Roman" w:eastAsia="Times New Roman" w:hAnsi="Times New Roman" w:cs="Times New Roman"/>
          <w:b/>
          <w:bCs/>
          <w:sz w:val="24"/>
          <w:szCs w:val="24"/>
        </w:rPr>
      </w:pPr>
      <w:r>
        <w:rPr>
          <w:rFonts w:ascii="Times New Roman" w:hAnsi="Times New Roman"/>
          <w:b/>
          <w:bCs/>
          <w:sz w:val="24"/>
          <w:szCs w:val="24"/>
        </w:rPr>
        <w:t>T.T. Koncewicz, 3-4 i 5-6/ 2009, 1-2/2013</w:t>
      </w:r>
    </w:p>
    <w:p w:rsidR="00703568" w:rsidRDefault="005E236B">
      <w:pPr>
        <w:numPr>
          <w:ilvl w:val="0"/>
          <w:numId w:val="2"/>
        </w:numPr>
        <w:suppressAutoHyphens/>
        <w:spacing w:after="160"/>
        <w:jc w:val="both"/>
        <w:rPr>
          <w:rFonts w:ascii="Times New Roman" w:eastAsia="Times New Roman" w:hAnsi="Times New Roman" w:cs="Times New Roman"/>
          <w:b/>
          <w:bCs/>
          <w:sz w:val="24"/>
          <w:szCs w:val="24"/>
        </w:rPr>
      </w:pPr>
      <w:r>
        <w:rPr>
          <w:rFonts w:ascii="Times New Roman" w:hAnsi="Times New Roman"/>
          <w:b/>
          <w:bCs/>
          <w:sz w:val="24"/>
          <w:szCs w:val="24"/>
        </w:rPr>
        <w:t>T.T. Koncewicz, Jak powstaje precedens europejski? : kilka refleksji na temat "polityki orzeczniczej" s</w:t>
      </w:r>
      <w:r>
        <w:rPr>
          <w:rFonts w:ascii="Times New Roman" w:hAnsi="Times New Roman"/>
          <w:b/>
          <w:bCs/>
          <w:sz w:val="24"/>
          <w:szCs w:val="24"/>
        </w:rPr>
        <w:t>ą</w:t>
      </w:r>
      <w:r>
        <w:rPr>
          <w:rFonts w:ascii="Times New Roman" w:hAnsi="Times New Roman"/>
          <w:b/>
          <w:bCs/>
          <w:sz w:val="24"/>
          <w:szCs w:val="24"/>
        </w:rPr>
        <w:t>du unijnego, Palestra 1-2/2011 i 3-4/2011</w:t>
      </w:r>
    </w:p>
    <w:p w:rsidR="00703568" w:rsidRDefault="005E236B">
      <w:pPr>
        <w:numPr>
          <w:ilvl w:val="0"/>
          <w:numId w:val="2"/>
        </w:numPr>
        <w:suppressAutoHyphens/>
        <w:spacing w:before="240" w:after="160" w:line="360" w:lineRule="auto"/>
        <w:jc w:val="both"/>
        <w:rPr>
          <w:rFonts w:ascii="Times New Roman" w:eastAsia="Times New Roman" w:hAnsi="Times New Roman" w:cs="Times New Roman"/>
          <w:b/>
          <w:bCs/>
          <w:sz w:val="24"/>
          <w:szCs w:val="24"/>
        </w:rPr>
      </w:pPr>
      <w:r>
        <w:rPr>
          <w:rFonts w:ascii="Times New Roman" w:hAnsi="Times New Roman"/>
          <w:b/>
          <w:bCs/>
          <w:sz w:val="24"/>
          <w:szCs w:val="24"/>
        </w:rPr>
        <w:t>T.T. Koncewicz, Bariery nasze</w:t>
      </w:r>
      <w:r>
        <w:rPr>
          <w:rFonts w:ascii="Times New Roman" w:hAnsi="Times New Roman"/>
          <w:b/>
          <w:bCs/>
          <w:sz w:val="24"/>
          <w:szCs w:val="24"/>
        </w:rPr>
        <w:t>go my</w:t>
      </w:r>
      <w:r>
        <w:rPr>
          <w:rFonts w:ascii="Times New Roman" w:hAnsi="Times New Roman"/>
          <w:b/>
          <w:bCs/>
          <w:sz w:val="24"/>
          <w:szCs w:val="24"/>
        </w:rPr>
        <w:t>ś</w:t>
      </w:r>
      <w:r>
        <w:rPr>
          <w:rFonts w:ascii="Times New Roman" w:hAnsi="Times New Roman"/>
          <w:b/>
          <w:bCs/>
          <w:sz w:val="24"/>
          <w:szCs w:val="24"/>
        </w:rPr>
        <w:t>lenia o roli s</w:t>
      </w:r>
      <w:r>
        <w:rPr>
          <w:rFonts w:ascii="Times New Roman" w:hAnsi="Times New Roman"/>
          <w:b/>
          <w:bCs/>
          <w:sz w:val="24"/>
          <w:szCs w:val="24"/>
        </w:rPr>
        <w:t>ą</w:t>
      </w:r>
      <w:r>
        <w:rPr>
          <w:rFonts w:ascii="Times New Roman" w:hAnsi="Times New Roman"/>
          <w:b/>
          <w:bCs/>
          <w:sz w:val="24"/>
          <w:szCs w:val="24"/>
        </w:rPr>
        <w:t>d</w:t>
      </w:r>
      <w:r>
        <w:rPr>
          <w:rFonts w:ascii="Times New Roman" w:hAnsi="Times New Roman"/>
          <w:b/>
          <w:bCs/>
          <w:sz w:val="24"/>
          <w:szCs w:val="24"/>
          <w:lang w:val="es-ES_tradnl"/>
        </w:rPr>
        <w:t>ó</w:t>
      </w:r>
      <w:r>
        <w:rPr>
          <w:rFonts w:ascii="Times New Roman" w:hAnsi="Times New Roman"/>
          <w:b/>
          <w:bCs/>
          <w:sz w:val="24"/>
          <w:szCs w:val="24"/>
          <w:lang w:val="fr-FR"/>
        </w:rPr>
        <w:t>w : pomi</w:t>
      </w:r>
      <w:r>
        <w:rPr>
          <w:rFonts w:ascii="Times New Roman" w:hAnsi="Times New Roman"/>
          <w:b/>
          <w:bCs/>
          <w:sz w:val="24"/>
          <w:szCs w:val="24"/>
        </w:rPr>
        <w:t>ę</w:t>
      </w:r>
      <w:r>
        <w:rPr>
          <w:rFonts w:ascii="Times New Roman" w:hAnsi="Times New Roman"/>
          <w:b/>
          <w:bCs/>
          <w:sz w:val="24"/>
          <w:szCs w:val="24"/>
        </w:rPr>
        <w:t>dzy perspektyw</w:t>
      </w:r>
      <w:r>
        <w:rPr>
          <w:rFonts w:ascii="Times New Roman" w:hAnsi="Times New Roman"/>
          <w:b/>
          <w:bCs/>
          <w:sz w:val="24"/>
          <w:szCs w:val="24"/>
        </w:rPr>
        <w:t xml:space="preserve">ą </w:t>
      </w:r>
      <w:r>
        <w:rPr>
          <w:rFonts w:ascii="Times New Roman" w:hAnsi="Times New Roman"/>
          <w:b/>
          <w:bCs/>
          <w:sz w:val="24"/>
          <w:szCs w:val="24"/>
        </w:rPr>
        <w:t>uniwersaln</w:t>
      </w:r>
      <w:r>
        <w:rPr>
          <w:rFonts w:ascii="Times New Roman" w:hAnsi="Times New Roman"/>
          <w:b/>
          <w:bCs/>
          <w:sz w:val="24"/>
          <w:szCs w:val="24"/>
        </w:rPr>
        <w:t>ą</w:t>
      </w:r>
      <w:r>
        <w:rPr>
          <w:rFonts w:ascii="Times New Roman" w:hAnsi="Times New Roman"/>
          <w:b/>
          <w:bCs/>
          <w:sz w:val="24"/>
          <w:szCs w:val="24"/>
        </w:rPr>
        <w:t>, polsk</w:t>
      </w:r>
      <w:r>
        <w:rPr>
          <w:rFonts w:ascii="Times New Roman" w:hAnsi="Times New Roman"/>
          <w:b/>
          <w:bCs/>
          <w:sz w:val="24"/>
          <w:szCs w:val="24"/>
        </w:rPr>
        <w:t xml:space="preserve">ą </w:t>
      </w:r>
      <w:r>
        <w:rPr>
          <w:rFonts w:ascii="Times New Roman" w:hAnsi="Times New Roman"/>
          <w:b/>
          <w:bCs/>
          <w:sz w:val="24"/>
          <w:szCs w:val="24"/>
        </w:rPr>
        <w:t>i europejsk</w:t>
      </w:r>
      <w:r>
        <w:rPr>
          <w:rFonts w:ascii="Times New Roman" w:hAnsi="Times New Roman"/>
          <w:b/>
          <w:bCs/>
          <w:sz w:val="24"/>
          <w:szCs w:val="24"/>
        </w:rPr>
        <w:t>ą</w:t>
      </w:r>
      <w:r>
        <w:rPr>
          <w:rFonts w:ascii="Times New Roman" w:hAnsi="Times New Roman"/>
          <w:b/>
          <w:bCs/>
          <w:sz w:val="24"/>
          <w:szCs w:val="24"/>
        </w:rPr>
        <w:t>, Palestra 9-10/2011 i 11-12/2012?</w:t>
      </w:r>
    </w:p>
    <w:p w:rsidR="00703568" w:rsidRDefault="005E236B">
      <w:pPr>
        <w:numPr>
          <w:ilvl w:val="0"/>
          <w:numId w:val="2"/>
        </w:numPr>
        <w:suppressAutoHyphens/>
        <w:spacing w:before="240" w:after="160" w:line="360" w:lineRule="auto"/>
        <w:jc w:val="both"/>
        <w:rPr>
          <w:rFonts w:ascii="Times New Roman" w:eastAsia="Times New Roman" w:hAnsi="Times New Roman" w:cs="Times New Roman"/>
          <w:b/>
          <w:bCs/>
          <w:sz w:val="24"/>
          <w:szCs w:val="24"/>
        </w:rPr>
      </w:pPr>
      <w:r>
        <w:rPr>
          <w:rFonts w:ascii="Times New Roman" w:hAnsi="Times New Roman"/>
          <w:b/>
          <w:bCs/>
          <w:sz w:val="24"/>
          <w:szCs w:val="24"/>
        </w:rPr>
        <w:t>T.T. Koncewicz, Godno</w:t>
      </w:r>
      <w:r>
        <w:rPr>
          <w:rFonts w:ascii="Times New Roman" w:hAnsi="Times New Roman"/>
          <w:b/>
          <w:bCs/>
          <w:sz w:val="24"/>
          <w:szCs w:val="24"/>
        </w:rPr>
        <w:t xml:space="preserve">ść </w:t>
      </w:r>
      <w:r>
        <w:rPr>
          <w:rFonts w:ascii="Times New Roman" w:hAnsi="Times New Roman"/>
          <w:b/>
          <w:bCs/>
          <w:sz w:val="24"/>
          <w:szCs w:val="24"/>
        </w:rPr>
        <w:t>w orzecznictwie s</w:t>
      </w:r>
      <w:r>
        <w:rPr>
          <w:rFonts w:ascii="Times New Roman" w:hAnsi="Times New Roman"/>
          <w:b/>
          <w:bCs/>
          <w:sz w:val="24"/>
          <w:szCs w:val="24"/>
        </w:rPr>
        <w:t>ą</w:t>
      </w:r>
      <w:r>
        <w:rPr>
          <w:rFonts w:ascii="Times New Roman" w:hAnsi="Times New Roman"/>
          <w:b/>
          <w:bCs/>
          <w:sz w:val="24"/>
          <w:szCs w:val="24"/>
        </w:rPr>
        <w:t>d</w:t>
      </w:r>
      <w:r>
        <w:rPr>
          <w:rFonts w:ascii="Times New Roman" w:hAnsi="Times New Roman"/>
          <w:b/>
          <w:bCs/>
          <w:sz w:val="24"/>
          <w:szCs w:val="24"/>
          <w:lang w:val="es-ES_tradnl"/>
        </w:rPr>
        <w:t>ó</w:t>
      </w:r>
      <w:r>
        <w:rPr>
          <w:rFonts w:ascii="Times New Roman" w:hAnsi="Times New Roman"/>
          <w:b/>
          <w:bCs/>
          <w:sz w:val="24"/>
          <w:szCs w:val="24"/>
        </w:rPr>
        <w:t>w unijnych: w kierunku jurysprudencji konstytucyjnej, Palestra 1-2/2012</w:t>
      </w:r>
    </w:p>
    <w:p w:rsidR="00703568" w:rsidRDefault="005E236B">
      <w:pPr>
        <w:numPr>
          <w:ilvl w:val="0"/>
          <w:numId w:val="2"/>
        </w:numPr>
        <w:suppressAutoHyphens/>
        <w:spacing w:before="240" w:after="160" w:line="360" w:lineRule="auto"/>
        <w:jc w:val="both"/>
        <w:rPr>
          <w:rFonts w:ascii="Times New Roman" w:eastAsia="Times New Roman" w:hAnsi="Times New Roman" w:cs="Times New Roman"/>
          <w:b/>
          <w:bCs/>
          <w:sz w:val="24"/>
          <w:szCs w:val="24"/>
        </w:rPr>
      </w:pPr>
      <w:r>
        <w:rPr>
          <w:rFonts w:ascii="Times New Roman" w:hAnsi="Times New Roman"/>
          <w:b/>
          <w:bCs/>
          <w:sz w:val="24"/>
          <w:szCs w:val="24"/>
        </w:rPr>
        <w:t>T.T. Koncewicz, "</w:t>
      </w:r>
      <w:r>
        <w:rPr>
          <w:rFonts w:ascii="Times New Roman" w:hAnsi="Times New Roman"/>
          <w:b/>
          <w:bCs/>
          <w:sz w:val="24"/>
          <w:szCs w:val="24"/>
        </w:rPr>
        <w:t>Suwerenno</w:t>
      </w:r>
      <w:r>
        <w:rPr>
          <w:rFonts w:ascii="Times New Roman" w:hAnsi="Times New Roman"/>
          <w:b/>
          <w:bCs/>
          <w:sz w:val="24"/>
          <w:szCs w:val="24"/>
        </w:rPr>
        <w:t xml:space="preserve">ść </w:t>
      </w:r>
      <w:r>
        <w:rPr>
          <w:rFonts w:ascii="Times New Roman" w:hAnsi="Times New Roman"/>
          <w:b/>
          <w:bCs/>
          <w:sz w:val="24"/>
          <w:szCs w:val="24"/>
        </w:rPr>
        <w:t>w bankructwie" czy "suwerenno</w:t>
      </w:r>
      <w:r>
        <w:rPr>
          <w:rFonts w:ascii="Times New Roman" w:hAnsi="Times New Roman"/>
          <w:b/>
          <w:bCs/>
          <w:sz w:val="24"/>
          <w:szCs w:val="24"/>
        </w:rPr>
        <w:t xml:space="preserve">ść </w:t>
      </w:r>
      <w:r>
        <w:rPr>
          <w:rFonts w:ascii="Times New Roman" w:hAnsi="Times New Roman"/>
          <w:b/>
          <w:bCs/>
          <w:sz w:val="24"/>
          <w:szCs w:val="24"/>
        </w:rPr>
        <w:t>w partycypacji" : jaka debata publiczna?, Palestra 7-8/2012</w:t>
      </w:r>
    </w:p>
    <w:p w:rsidR="00703568" w:rsidRDefault="005E236B">
      <w:pPr>
        <w:numPr>
          <w:ilvl w:val="0"/>
          <w:numId w:val="2"/>
        </w:numPr>
        <w:suppressAutoHyphens/>
        <w:spacing w:before="240" w:after="160" w:line="360" w:lineRule="auto"/>
        <w:jc w:val="both"/>
        <w:rPr>
          <w:rFonts w:ascii="Times New Roman" w:eastAsia="Times New Roman" w:hAnsi="Times New Roman" w:cs="Times New Roman"/>
          <w:b/>
          <w:bCs/>
          <w:sz w:val="24"/>
          <w:szCs w:val="24"/>
        </w:rPr>
      </w:pPr>
      <w:r>
        <w:rPr>
          <w:rFonts w:ascii="Times New Roman" w:hAnsi="Times New Roman"/>
          <w:b/>
          <w:bCs/>
          <w:sz w:val="24"/>
          <w:szCs w:val="24"/>
        </w:rPr>
        <w:t>T.T. Koncewicz, S</w:t>
      </w:r>
      <w:r>
        <w:rPr>
          <w:rFonts w:ascii="Times New Roman" w:hAnsi="Times New Roman"/>
          <w:b/>
          <w:bCs/>
          <w:sz w:val="24"/>
          <w:szCs w:val="24"/>
        </w:rPr>
        <w:t>ą</w:t>
      </w:r>
      <w:r>
        <w:rPr>
          <w:rFonts w:ascii="Times New Roman" w:hAnsi="Times New Roman"/>
          <w:b/>
          <w:bCs/>
          <w:sz w:val="24"/>
          <w:szCs w:val="24"/>
        </w:rPr>
        <w:t>dzenie rynku. Czekaj</w:t>
      </w:r>
      <w:r>
        <w:rPr>
          <w:rFonts w:ascii="Times New Roman" w:hAnsi="Times New Roman"/>
          <w:b/>
          <w:bCs/>
          <w:sz w:val="24"/>
          <w:szCs w:val="24"/>
        </w:rPr>
        <w:t>ą</w:t>
      </w:r>
      <w:r>
        <w:rPr>
          <w:rFonts w:ascii="Times New Roman" w:hAnsi="Times New Roman"/>
          <w:b/>
          <w:bCs/>
          <w:sz w:val="24"/>
          <w:szCs w:val="24"/>
          <w:lang w:val="pt-PT"/>
        </w:rPr>
        <w:t>c na ACTA 2?, Palestra 9-10/2012</w:t>
      </w:r>
    </w:p>
    <w:p w:rsidR="00703568" w:rsidRDefault="005E236B">
      <w:pPr>
        <w:numPr>
          <w:ilvl w:val="0"/>
          <w:numId w:val="2"/>
        </w:numPr>
        <w:suppressAutoHyphens/>
        <w:spacing w:before="240" w:after="160" w:line="360" w:lineRule="auto"/>
        <w:jc w:val="both"/>
        <w:rPr>
          <w:rFonts w:ascii="Times New Roman" w:eastAsia="Times New Roman" w:hAnsi="Times New Roman" w:cs="Times New Roman"/>
          <w:b/>
          <w:bCs/>
          <w:sz w:val="24"/>
          <w:szCs w:val="24"/>
        </w:rPr>
      </w:pPr>
      <w:r>
        <w:rPr>
          <w:rFonts w:ascii="Times New Roman" w:hAnsi="Times New Roman"/>
          <w:b/>
          <w:bCs/>
          <w:sz w:val="24"/>
          <w:szCs w:val="24"/>
        </w:rPr>
        <w:t>T.T. Koncewicz, Autonomiczno</w:t>
      </w:r>
      <w:r>
        <w:rPr>
          <w:rFonts w:ascii="Times New Roman" w:hAnsi="Times New Roman"/>
          <w:b/>
          <w:bCs/>
          <w:sz w:val="24"/>
          <w:szCs w:val="24"/>
        </w:rPr>
        <w:t xml:space="preserve">ść </w:t>
      </w:r>
      <w:r>
        <w:rPr>
          <w:rFonts w:ascii="Times New Roman" w:hAnsi="Times New Roman"/>
          <w:b/>
          <w:bCs/>
          <w:sz w:val="24"/>
          <w:szCs w:val="24"/>
        </w:rPr>
        <w:t>proceduralna pa</w:t>
      </w:r>
      <w:r>
        <w:rPr>
          <w:rFonts w:ascii="Times New Roman" w:hAnsi="Times New Roman"/>
          <w:b/>
          <w:bCs/>
          <w:sz w:val="24"/>
          <w:szCs w:val="24"/>
        </w:rPr>
        <w:t>ń</w:t>
      </w:r>
      <w:r>
        <w:rPr>
          <w:rFonts w:ascii="Times New Roman" w:hAnsi="Times New Roman"/>
          <w:b/>
          <w:bCs/>
          <w:sz w:val="24"/>
          <w:szCs w:val="24"/>
        </w:rPr>
        <w:t>stw cz</w:t>
      </w:r>
      <w:r>
        <w:rPr>
          <w:rFonts w:ascii="Times New Roman" w:hAnsi="Times New Roman"/>
          <w:b/>
          <w:bCs/>
          <w:sz w:val="24"/>
          <w:szCs w:val="24"/>
        </w:rPr>
        <w:t>ł</w:t>
      </w:r>
      <w:r>
        <w:rPr>
          <w:rFonts w:ascii="Times New Roman" w:hAnsi="Times New Roman"/>
          <w:b/>
          <w:bCs/>
          <w:sz w:val="24"/>
          <w:szCs w:val="24"/>
        </w:rPr>
        <w:t>onkowskich. Zmierzch czy n</w:t>
      </w:r>
      <w:r>
        <w:rPr>
          <w:rFonts w:ascii="Times New Roman" w:hAnsi="Times New Roman"/>
          <w:b/>
          <w:bCs/>
          <w:sz w:val="24"/>
          <w:szCs w:val="24"/>
        </w:rPr>
        <w:t>owe otwarcie, Palestra 11-12/2012</w:t>
      </w:r>
    </w:p>
    <w:p w:rsidR="00703568" w:rsidRDefault="005E236B">
      <w:pPr>
        <w:numPr>
          <w:ilvl w:val="0"/>
          <w:numId w:val="2"/>
        </w:numPr>
        <w:suppressAutoHyphens/>
        <w:spacing w:before="240" w:after="160" w:line="360" w:lineRule="auto"/>
        <w:jc w:val="both"/>
        <w:rPr>
          <w:rFonts w:ascii="Times New Roman" w:eastAsia="Times New Roman" w:hAnsi="Times New Roman" w:cs="Times New Roman"/>
          <w:b/>
          <w:bCs/>
          <w:sz w:val="24"/>
          <w:szCs w:val="24"/>
        </w:rPr>
      </w:pPr>
      <w:r>
        <w:rPr>
          <w:rFonts w:ascii="Times New Roman" w:hAnsi="Times New Roman"/>
          <w:b/>
          <w:bCs/>
          <w:sz w:val="24"/>
          <w:szCs w:val="24"/>
        </w:rPr>
        <w:t>T.T. Koncewicz, Autonomia proceduralna pa</w:t>
      </w:r>
      <w:r>
        <w:rPr>
          <w:rFonts w:ascii="Times New Roman" w:hAnsi="Times New Roman"/>
          <w:b/>
          <w:bCs/>
          <w:sz w:val="24"/>
          <w:szCs w:val="24"/>
        </w:rPr>
        <w:t>ń</w:t>
      </w:r>
      <w:r>
        <w:rPr>
          <w:rFonts w:ascii="Times New Roman" w:hAnsi="Times New Roman"/>
          <w:b/>
          <w:bCs/>
          <w:sz w:val="24"/>
          <w:szCs w:val="24"/>
        </w:rPr>
        <w:t>stw cz</w:t>
      </w:r>
      <w:r>
        <w:rPr>
          <w:rFonts w:ascii="Times New Roman" w:hAnsi="Times New Roman"/>
          <w:b/>
          <w:bCs/>
          <w:sz w:val="24"/>
          <w:szCs w:val="24"/>
        </w:rPr>
        <w:t>ł</w:t>
      </w:r>
      <w:r>
        <w:rPr>
          <w:rFonts w:ascii="Times New Roman" w:hAnsi="Times New Roman"/>
          <w:b/>
          <w:bCs/>
          <w:sz w:val="24"/>
          <w:szCs w:val="24"/>
        </w:rPr>
        <w:t>onkowskich : pragmatyczne przewarto</w:t>
      </w:r>
      <w:r>
        <w:rPr>
          <w:rFonts w:ascii="Times New Roman" w:hAnsi="Times New Roman"/>
          <w:b/>
          <w:bCs/>
          <w:sz w:val="24"/>
          <w:szCs w:val="24"/>
        </w:rPr>
        <w:t>ś</w:t>
      </w:r>
      <w:r>
        <w:rPr>
          <w:rFonts w:ascii="Times New Roman" w:hAnsi="Times New Roman"/>
          <w:b/>
          <w:bCs/>
          <w:sz w:val="24"/>
          <w:szCs w:val="24"/>
        </w:rPr>
        <w:t>ciowanie czy pryncypialne utrzymywanie status quo?, Palestra 5-6/2011 i 7-8/2011</w:t>
      </w:r>
    </w:p>
    <w:p w:rsidR="00703568" w:rsidRDefault="005E236B">
      <w:pPr>
        <w:numPr>
          <w:ilvl w:val="0"/>
          <w:numId w:val="2"/>
        </w:numPr>
        <w:suppressAutoHyphens/>
        <w:spacing w:before="240" w:after="160" w:line="360" w:lineRule="auto"/>
        <w:jc w:val="both"/>
        <w:rPr>
          <w:rFonts w:ascii="Times New Roman" w:eastAsia="Times New Roman" w:hAnsi="Times New Roman" w:cs="Times New Roman"/>
          <w:b/>
          <w:bCs/>
          <w:sz w:val="24"/>
          <w:szCs w:val="24"/>
        </w:rPr>
      </w:pPr>
      <w:r>
        <w:rPr>
          <w:rFonts w:ascii="Times New Roman" w:hAnsi="Times New Roman"/>
          <w:b/>
          <w:bCs/>
          <w:sz w:val="24"/>
          <w:szCs w:val="24"/>
        </w:rPr>
        <w:t>T.T. Koncewicz, Filozofia Van Gend Loos, Gda</w:t>
      </w:r>
      <w:r>
        <w:rPr>
          <w:rFonts w:ascii="Times New Roman" w:hAnsi="Times New Roman"/>
          <w:b/>
          <w:bCs/>
          <w:sz w:val="24"/>
          <w:szCs w:val="24"/>
        </w:rPr>
        <w:t>ń</w:t>
      </w:r>
      <w:r>
        <w:rPr>
          <w:rFonts w:ascii="Times New Roman" w:hAnsi="Times New Roman"/>
          <w:b/>
          <w:bCs/>
          <w:sz w:val="24"/>
          <w:szCs w:val="24"/>
        </w:rPr>
        <w:t>skie Studia</w:t>
      </w:r>
      <w:r>
        <w:rPr>
          <w:rFonts w:ascii="Times New Roman" w:hAnsi="Times New Roman"/>
          <w:b/>
          <w:bCs/>
          <w:sz w:val="24"/>
          <w:szCs w:val="24"/>
        </w:rPr>
        <w:t xml:space="preserve"> Prawnicze XXV/2011</w:t>
      </w:r>
    </w:p>
    <w:p w:rsidR="00703568" w:rsidRDefault="00703568">
      <w:pPr>
        <w:suppressAutoHyphens/>
        <w:spacing w:before="240" w:line="360" w:lineRule="auto"/>
        <w:ind w:left="360"/>
        <w:jc w:val="both"/>
      </w:pPr>
    </w:p>
    <w:sectPr w:rsidR="00703568">
      <w:headerReference w:type="default" r:id="rId7"/>
      <w:footerReference w:type="default" r:id="rId8"/>
      <w:pgSz w:w="11900" w:h="16840"/>
      <w:pgMar w:top="1417" w:right="1417" w:bottom="1417" w:left="141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36B" w:rsidRDefault="005E236B">
      <w:r>
        <w:separator/>
      </w:r>
    </w:p>
  </w:endnote>
  <w:endnote w:type="continuationSeparator" w:id="0">
    <w:p w:rsidR="005E236B" w:rsidRDefault="005E2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Neue">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568" w:rsidRDefault="005E236B">
    <w:pPr>
      <w:pStyle w:val="Stopka"/>
      <w:tabs>
        <w:tab w:val="clear" w:pos="9072"/>
        <w:tab w:val="right" w:pos="9046"/>
      </w:tabs>
      <w:rPr>
        <w:rFonts w:ascii="Cambria" w:eastAsia="Cambria" w:hAnsi="Cambria" w:cs="Cambria"/>
        <w:b/>
        <w:bCs/>
        <w:color w:val="4D4D4D"/>
        <w:sz w:val="16"/>
        <w:szCs w:val="16"/>
        <w:u w:color="4D4D4D"/>
      </w:rPr>
    </w:pPr>
    <w:r>
      <w:rPr>
        <w:rFonts w:ascii="Cambria" w:eastAsia="Cambria" w:hAnsi="Cambria" w:cs="Cambria"/>
        <w:b/>
        <w:bCs/>
        <w:color w:val="4D4D4D"/>
        <w:sz w:val="16"/>
        <w:szCs w:val="16"/>
        <w:u w:color="4D4D4D"/>
      </w:rPr>
      <w:t>KATEDRA PRAWA EUROPEJSKIEGO I KOMPARATYSTYKI PRAWNICZEJ</w:t>
    </w:r>
  </w:p>
  <w:p w:rsidR="00703568" w:rsidRDefault="005E236B">
    <w:pPr>
      <w:pStyle w:val="Stopka"/>
      <w:tabs>
        <w:tab w:val="clear" w:pos="9072"/>
        <w:tab w:val="right" w:pos="9046"/>
      </w:tabs>
      <w:rPr>
        <w:rFonts w:ascii="Cambria" w:eastAsia="Cambria" w:hAnsi="Cambria" w:cs="Cambria"/>
        <w:color w:val="4D4D4D"/>
        <w:sz w:val="16"/>
        <w:szCs w:val="16"/>
        <w:u w:color="4D4D4D"/>
      </w:rPr>
    </w:pPr>
    <w:r>
      <w:rPr>
        <w:rFonts w:ascii="Cambria" w:eastAsia="Cambria" w:hAnsi="Cambria" w:cs="Cambria"/>
        <w:color w:val="4D4D4D"/>
        <w:sz w:val="16"/>
        <w:szCs w:val="16"/>
        <w:u w:color="4D4D4D"/>
        <w:lang w:val="pt-PT"/>
      </w:rPr>
      <w:t>ul. Ba</w:t>
    </w:r>
    <w:r>
      <w:rPr>
        <w:rFonts w:ascii="Cambria" w:eastAsia="Cambria" w:hAnsi="Cambria" w:cs="Cambria"/>
        <w:color w:val="4D4D4D"/>
        <w:sz w:val="16"/>
        <w:szCs w:val="16"/>
        <w:u w:color="4D4D4D"/>
      </w:rPr>
      <w:t>żyńskiego 6, 80-309  Gdańsk</w:t>
    </w:r>
  </w:p>
  <w:p w:rsidR="00703568" w:rsidRDefault="005E236B">
    <w:pPr>
      <w:pStyle w:val="Stopka"/>
      <w:tabs>
        <w:tab w:val="clear" w:pos="9072"/>
        <w:tab w:val="right" w:pos="9046"/>
      </w:tabs>
    </w:pPr>
    <w:r>
      <w:rPr>
        <w:rFonts w:ascii="Cambria" w:eastAsia="Cambria" w:hAnsi="Cambria" w:cs="Cambria"/>
        <w:color w:val="4D4D4D"/>
        <w:sz w:val="16"/>
        <w:szCs w:val="16"/>
        <w:u w:color="4D4D4D"/>
      </w:rPr>
      <w:t xml:space="preserve">tel. +48 58 523 28 22, fax +48 58 523 27 14, email: </w:t>
    </w:r>
    <w:r>
      <w:rPr>
        <w:rFonts w:ascii="Cambria" w:eastAsia="Cambria" w:hAnsi="Cambria" w:cs="Cambria"/>
        <w:color w:val="4D4D4D"/>
        <w:sz w:val="16"/>
        <w:szCs w:val="16"/>
        <w:u w:color="4D4D4D"/>
      </w:rPr>
      <w:t>sekretariat03@prawo.ug.edu.pl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36B" w:rsidRDefault="005E236B">
      <w:r>
        <w:separator/>
      </w:r>
    </w:p>
  </w:footnote>
  <w:footnote w:type="continuationSeparator" w:id="0">
    <w:p w:rsidR="005E236B" w:rsidRDefault="005E23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568" w:rsidRDefault="005E236B">
    <w:pPr>
      <w:pStyle w:val="Nagwek"/>
      <w:tabs>
        <w:tab w:val="clear" w:pos="9072"/>
        <w:tab w:val="right" w:pos="9046"/>
      </w:tabs>
    </w:pPr>
    <w:r>
      <w:rPr>
        <w:noProof/>
      </w:rPr>
      <w:drawing>
        <wp:anchor distT="152400" distB="152400" distL="152400" distR="152400" simplePos="0" relativeHeight="251658240" behindDoc="1" locked="0" layoutInCell="1" allowOverlap="1">
          <wp:simplePos x="0" y="0"/>
          <wp:positionH relativeFrom="page">
            <wp:posOffset>634</wp:posOffset>
          </wp:positionH>
          <wp:positionV relativeFrom="page">
            <wp:posOffset>1270</wp:posOffset>
          </wp:positionV>
          <wp:extent cx="7559041" cy="1068959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7559041" cy="10689591"/>
                  </a:xfrm>
                  <a:prstGeom prst="rect">
                    <a:avLst/>
                  </a:prstGeom>
                  <a:ln w="12700" cap="flat">
                    <a:noFill/>
                    <a:miter lim="400000"/>
                  </a:ln>
                  <a:effectLst/>
                </pic:spPr>
              </pic:pic>
            </a:graphicData>
          </a:graphic>
        </wp:anchor>
      </w:drawing>
    </w:r>
  </w:p>
  <w:p w:rsidR="00703568" w:rsidRDefault="00703568">
    <w:pPr>
      <w:pStyle w:val="Nagwek"/>
      <w:tabs>
        <w:tab w:val="clear" w:pos="9072"/>
        <w:tab w:val="right" w:pos="9046"/>
      </w:tabs>
    </w:pPr>
  </w:p>
  <w:p w:rsidR="00703568" w:rsidRDefault="00703568">
    <w:pPr>
      <w:pStyle w:val="Nagwek"/>
      <w:tabs>
        <w:tab w:val="clear" w:pos="9072"/>
        <w:tab w:val="right" w:pos="9046"/>
      </w:tabs>
    </w:pPr>
  </w:p>
  <w:p w:rsidR="00703568" w:rsidRDefault="00703568">
    <w:pPr>
      <w:pStyle w:val="Nagwek"/>
      <w:tabs>
        <w:tab w:val="clear" w:pos="9072"/>
        <w:tab w:val="right" w:pos="9046"/>
      </w:tabs>
    </w:pPr>
  </w:p>
  <w:p w:rsidR="00703568" w:rsidRDefault="00703568">
    <w:pPr>
      <w:pStyle w:val="Nagwek"/>
      <w:tabs>
        <w:tab w:val="clear" w:pos="9072"/>
        <w:tab w:val="right" w:pos="9046"/>
      </w:tabs>
    </w:pPr>
  </w:p>
  <w:p w:rsidR="00703568" w:rsidRDefault="00703568">
    <w:pPr>
      <w:pStyle w:val="Nagwek"/>
      <w:tabs>
        <w:tab w:val="clear" w:pos="9072"/>
        <w:tab w:val="right" w:pos="9046"/>
      </w:tabs>
    </w:pPr>
  </w:p>
  <w:p w:rsidR="00703568" w:rsidRDefault="00703568">
    <w:pPr>
      <w:pStyle w:val="Nagwek"/>
      <w:tabs>
        <w:tab w:val="clear" w:pos="9072"/>
        <w:tab w:val="right" w:pos="9046"/>
      </w:tabs>
    </w:pPr>
  </w:p>
  <w:p w:rsidR="00703568" w:rsidRDefault="00703568">
    <w:pPr>
      <w:pStyle w:val="Nagwek"/>
      <w:tabs>
        <w:tab w:val="clear" w:pos="9072"/>
        <w:tab w:val="right" w:pos="904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8A29D1"/>
    <w:multiLevelType w:val="hybridMultilevel"/>
    <w:tmpl w:val="0596BFD6"/>
    <w:styleLink w:val="Zaimportowanystyl1"/>
    <w:lvl w:ilvl="0" w:tplc="1A0479B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C8A46F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58422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66CD5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CE80BA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83804D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C8877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D23D9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EF6D24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2EE2E40"/>
    <w:multiLevelType w:val="hybridMultilevel"/>
    <w:tmpl w:val="0596BFD6"/>
    <w:numStyleLink w:val="Zaimportowanystyl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568"/>
    <w:rsid w:val="00312BF6"/>
    <w:rsid w:val="005E236B"/>
    <w:rsid w:val="007035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B567E0-F80F-4297-A417-2FB38139A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rFonts w:ascii="Calibri" w:eastAsia="Calibri" w:hAnsi="Calibri" w:cs="Calibri"/>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ascii="Calibri" w:eastAsia="Calibri" w:hAnsi="Calibri" w:cs="Calibri"/>
      <w:color w:val="000000"/>
      <w:u w:color="000000"/>
    </w:rPr>
  </w:style>
  <w:style w:type="paragraph" w:styleId="Stopka">
    <w:name w:val="footer"/>
    <w:pPr>
      <w:tabs>
        <w:tab w:val="center" w:pos="4536"/>
        <w:tab w:val="right" w:pos="9072"/>
      </w:tabs>
    </w:pPr>
    <w:rPr>
      <w:rFonts w:ascii="Calibri" w:eastAsia="Calibri" w:hAnsi="Calibri" w:cs="Calibri"/>
      <w:color w:val="000000"/>
      <w:u w:color="000000"/>
      <w:lang w:val="de-DE"/>
    </w:rPr>
  </w:style>
  <w:style w:type="paragraph" w:customStyle="1" w:styleId="Domylne">
    <w:name w:val="Domyślne"/>
    <w:rPr>
      <w:rFonts w:ascii="Helvetica Neue" w:hAnsi="Helvetica Neue" w:cs="Arial Unicode MS"/>
      <w:color w:val="000000"/>
      <w:sz w:val="22"/>
      <w:szCs w:val="22"/>
    </w:rPr>
  </w:style>
  <w:style w:type="numbering" w:customStyle="1" w:styleId="Zaimportowanystyl1">
    <w:name w:val="Zaimportowany styl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4384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Krystyna Warylewska</dc:creator>
  <cp:lastModifiedBy>Krystyna Warylewska</cp:lastModifiedBy>
  <cp:revision>2</cp:revision>
  <dcterms:created xsi:type="dcterms:W3CDTF">2017-10-30T10:15:00Z</dcterms:created>
  <dcterms:modified xsi:type="dcterms:W3CDTF">2017-10-30T10:15:00Z</dcterms:modified>
</cp:coreProperties>
</file>