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351" w:type="dxa"/>
        <w:jc w:val="center"/>
        <w:tblLayout w:type="fixed"/>
        <w:tblLook w:val="04A0" w:firstRow="1" w:lastRow="0" w:firstColumn="1" w:lastColumn="0" w:noHBand="0" w:noVBand="1"/>
      </w:tblPr>
      <w:tblGrid>
        <w:gridCol w:w="562"/>
        <w:gridCol w:w="8789"/>
      </w:tblGrid>
      <w:tr w:rsidR="00D94E37" w:rsidRPr="00362417" w:rsidTr="006F5EEB">
        <w:trPr>
          <w:trHeight w:val="379"/>
          <w:jc w:val="center"/>
        </w:trPr>
        <w:tc>
          <w:tcPr>
            <w:tcW w:w="562" w:type="dxa"/>
          </w:tcPr>
          <w:p w:rsidR="00D94E37" w:rsidRPr="00362417" w:rsidRDefault="00D94E37" w:rsidP="001C0B70">
            <w:pPr>
              <w:jc w:val="both"/>
              <w:rPr>
                <w:rFonts w:cs="Times New Roman"/>
                <w:b/>
                <w:sz w:val="24"/>
                <w:szCs w:val="24"/>
              </w:rPr>
            </w:pPr>
            <w:r w:rsidRPr="00362417">
              <w:rPr>
                <w:rFonts w:cs="Times New Roman"/>
                <w:b/>
                <w:sz w:val="24"/>
                <w:szCs w:val="24"/>
              </w:rPr>
              <w:t>LP</w:t>
            </w:r>
          </w:p>
        </w:tc>
        <w:tc>
          <w:tcPr>
            <w:tcW w:w="8789" w:type="dxa"/>
          </w:tcPr>
          <w:p w:rsidR="004A4552" w:rsidRPr="00362417" w:rsidRDefault="00D94E37" w:rsidP="001C0B70">
            <w:pPr>
              <w:jc w:val="center"/>
              <w:rPr>
                <w:rFonts w:cs="Times New Roman"/>
                <w:b/>
                <w:sz w:val="28"/>
                <w:szCs w:val="28"/>
              </w:rPr>
            </w:pPr>
            <w:r w:rsidRPr="00362417">
              <w:rPr>
                <w:rFonts w:cs="Times New Roman"/>
                <w:b/>
                <w:sz w:val="28"/>
                <w:szCs w:val="28"/>
              </w:rPr>
              <w:t>ZAGADNIENIA I PROBLEMATYKA ZGŁOSZONA</w:t>
            </w:r>
          </w:p>
          <w:p w:rsidR="00D94E37" w:rsidRPr="00362417" w:rsidRDefault="00D94E37" w:rsidP="001C0B70">
            <w:pPr>
              <w:jc w:val="center"/>
              <w:rPr>
                <w:rFonts w:cs="Times New Roman"/>
                <w:b/>
                <w:sz w:val="28"/>
                <w:szCs w:val="28"/>
              </w:rPr>
            </w:pPr>
            <w:r w:rsidRPr="00362417">
              <w:rPr>
                <w:rFonts w:cs="Times New Roman"/>
                <w:b/>
                <w:sz w:val="28"/>
                <w:szCs w:val="28"/>
              </w:rPr>
              <w:t>PRZEZ JST I PARTNERÓW SPOŁECZNYCH</w:t>
            </w:r>
          </w:p>
        </w:tc>
      </w:tr>
      <w:tr w:rsidR="00D94E37" w:rsidRPr="00362417" w:rsidTr="006F5EEB">
        <w:trPr>
          <w:trHeight w:val="379"/>
          <w:jc w:val="center"/>
        </w:trPr>
        <w:tc>
          <w:tcPr>
            <w:tcW w:w="562" w:type="dxa"/>
          </w:tcPr>
          <w:p w:rsidR="00D94E37" w:rsidRPr="00362417" w:rsidRDefault="004A4552" w:rsidP="001C0B70">
            <w:pPr>
              <w:jc w:val="both"/>
              <w:rPr>
                <w:rFonts w:cs="Times New Roman"/>
                <w:b/>
                <w:sz w:val="24"/>
                <w:szCs w:val="24"/>
              </w:rPr>
            </w:pPr>
            <w:r w:rsidRPr="00362417">
              <w:rPr>
                <w:rFonts w:cs="Times New Roman"/>
                <w:b/>
                <w:sz w:val="24"/>
                <w:szCs w:val="24"/>
              </w:rPr>
              <w:t>I</w:t>
            </w:r>
          </w:p>
        </w:tc>
        <w:tc>
          <w:tcPr>
            <w:tcW w:w="8789" w:type="dxa"/>
          </w:tcPr>
          <w:p w:rsidR="001958C8" w:rsidRPr="00362417" w:rsidRDefault="004A4552" w:rsidP="001C0B70">
            <w:pPr>
              <w:jc w:val="center"/>
              <w:rPr>
                <w:rFonts w:cs="Times New Roman"/>
                <w:b/>
                <w:sz w:val="28"/>
                <w:szCs w:val="28"/>
              </w:rPr>
            </w:pPr>
            <w:r w:rsidRPr="00362417">
              <w:rPr>
                <w:rFonts w:cs="Times New Roman"/>
                <w:b/>
                <w:sz w:val="28"/>
                <w:szCs w:val="28"/>
              </w:rPr>
              <w:t>Zagadnienia prawne związane z nowelizacją ustawy</w:t>
            </w:r>
          </w:p>
          <w:p w:rsidR="00D94E37" w:rsidRPr="00362417" w:rsidRDefault="004A4552" w:rsidP="001C0B70">
            <w:pPr>
              <w:jc w:val="center"/>
              <w:rPr>
                <w:rFonts w:cs="Times New Roman"/>
                <w:b/>
                <w:sz w:val="28"/>
                <w:szCs w:val="28"/>
              </w:rPr>
            </w:pPr>
            <w:r w:rsidRPr="00362417">
              <w:rPr>
                <w:rFonts w:cs="Times New Roman"/>
                <w:b/>
                <w:sz w:val="28"/>
                <w:szCs w:val="28"/>
              </w:rPr>
              <w:t>o finansach publicznych z dnia 14 grudnia 2018 r.</w:t>
            </w:r>
          </w:p>
        </w:tc>
      </w:tr>
      <w:tr w:rsidR="00D94E37" w:rsidRPr="00362417" w:rsidTr="006F5EEB">
        <w:trPr>
          <w:trHeight w:val="379"/>
          <w:jc w:val="center"/>
        </w:trPr>
        <w:tc>
          <w:tcPr>
            <w:tcW w:w="562" w:type="dxa"/>
          </w:tcPr>
          <w:p w:rsidR="00D94E37" w:rsidRPr="00362417" w:rsidRDefault="00DE1AB3" w:rsidP="001C0B70">
            <w:pPr>
              <w:jc w:val="both"/>
              <w:rPr>
                <w:rFonts w:cs="Times New Roman"/>
                <w:b/>
                <w:sz w:val="24"/>
                <w:szCs w:val="24"/>
              </w:rPr>
            </w:pPr>
            <w:r w:rsidRPr="00362417">
              <w:rPr>
                <w:rFonts w:cs="Times New Roman"/>
                <w:b/>
                <w:sz w:val="24"/>
                <w:szCs w:val="24"/>
              </w:rPr>
              <w:t>1.</w:t>
            </w:r>
          </w:p>
        </w:tc>
        <w:tc>
          <w:tcPr>
            <w:tcW w:w="8789" w:type="dxa"/>
          </w:tcPr>
          <w:p w:rsidR="00D94E37" w:rsidRPr="00BE374E" w:rsidRDefault="00DE1AB3" w:rsidP="001C0B70">
            <w:pPr>
              <w:jc w:val="both"/>
              <w:rPr>
                <w:rFonts w:cs="Times New Roman"/>
                <w:sz w:val="24"/>
                <w:szCs w:val="24"/>
              </w:rPr>
            </w:pPr>
            <w:r w:rsidRPr="00362417">
              <w:rPr>
                <w:rFonts w:cs="Times New Roman"/>
                <w:sz w:val="24"/>
                <w:szCs w:val="24"/>
              </w:rPr>
              <w:t>Problematyka szczególnych zasad wykonywania budżetu jednostki samorządu terytorialnego w kontekście nowelizacji art. 217 ust. 1 pkt 8 ustawy o finansach publicznych.</w:t>
            </w:r>
          </w:p>
        </w:tc>
      </w:tr>
      <w:tr w:rsidR="00D94E37" w:rsidRPr="00362417" w:rsidTr="006F5EEB">
        <w:trPr>
          <w:trHeight w:val="379"/>
          <w:jc w:val="center"/>
        </w:trPr>
        <w:tc>
          <w:tcPr>
            <w:tcW w:w="562" w:type="dxa"/>
          </w:tcPr>
          <w:p w:rsidR="00D94E37" w:rsidRPr="00362417" w:rsidRDefault="0068101B" w:rsidP="001C0B70">
            <w:pPr>
              <w:jc w:val="both"/>
              <w:rPr>
                <w:rFonts w:cs="Times New Roman"/>
                <w:b/>
                <w:sz w:val="24"/>
                <w:szCs w:val="24"/>
              </w:rPr>
            </w:pPr>
            <w:r w:rsidRPr="00362417">
              <w:rPr>
                <w:rFonts w:cs="Times New Roman"/>
                <w:b/>
                <w:sz w:val="24"/>
                <w:szCs w:val="24"/>
              </w:rPr>
              <w:t>2.</w:t>
            </w:r>
          </w:p>
        </w:tc>
        <w:tc>
          <w:tcPr>
            <w:tcW w:w="8789" w:type="dxa"/>
          </w:tcPr>
          <w:p w:rsidR="00D94E37" w:rsidRPr="00362417" w:rsidRDefault="00DE1AB3" w:rsidP="0068101B">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Wolne środki jako źródło pokrycia deficytu budżetu jst – sposób ich ustalania i wyliczania.</w:t>
            </w:r>
          </w:p>
        </w:tc>
      </w:tr>
      <w:tr w:rsidR="00D94E37" w:rsidRPr="00362417" w:rsidTr="006F5EEB">
        <w:trPr>
          <w:trHeight w:val="379"/>
          <w:jc w:val="center"/>
        </w:trPr>
        <w:tc>
          <w:tcPr>
            <w:tcW w:w="562" w:type="dxa"/>
          </w:tcPr>
          <w:p w:rsidR="00D94E37" w:rsidRPr="00362417" w:rsidRDefault="0068101B" w:rsidP="001C0B70">
            <w:pPr>
              <w:jc w:val="both"/>
              <w:rPr>
                <w:rFonts w:cs="Times New Roman"/>
                <w:b/>
                <w:sz w:val="24"/>
                <w:szCs w:val="24"/>
              </w:rPr>
            </w:pPr>
            <w:r w:rsidRPr="00362417">
              <w:rPr>
                <w:rFonts w:cs="Times New Roman"/>
                <w:b/>
                <w:sz w:val="24"/>
                <w:szCs w:val="24"/>
              </w:rPr>
              <w:t>3.</w:t>
            </w:r>
          </w:p>
        </w:tc>
        <w:tc>
          <w:tcPr>
            <w:tcW w:w="8789" w:type="dxa"/>
          </w:tcPr>
          <w:p w:rsidR="00D94E37" w:rsidRPr="00362417" w:rsidRDefault="00DE1AB3" w:rsidP="0068101B">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Charakter prawny środków lokowanych przez jst na krótko i długoterminowych lokatach bankowych.</w:t>
            </w:r>
          </w:p>
        </w:tc>
      </w:tr>
      <w:tr w:rsidR="00D94E37" w:rsidRPr="00362417" w:rsidTr="006F5EEB">
        <w:trPr>
          <w:trHeight w:val="379"/>
          <w:jc w:val="center"/>
        </w:trPr>
        <w:tc>
          <w:tcPr>
            <w:tcW w:w="562" w:type="dxa"/>
          </w:tcPr>
          <w:p w:rsidR="00D94E37" w:rsidRPr="00362417" w:rsidRDefault="0068101B" w:rsidP="001C0B70">
            <w:pPr>
              <w:jc w:val="both"/>
              <w:rPr>
                <w:rFonts w:cs="Times New Roman"/>
                <w:b/>
                <w:sz w:val="24"/>
                <w:szCs w:val="24"/>
              </w:rPr>
            </w:pPr>
            <w:r w:rsidRPr="00362417">
              <w:rPr>
                <w:rFonts w:cs="Times New Roman"/>
                <w:b/>
                <w:sz w:val="24"/>
                <w:szCs w:val="24"/>
              </w:rPr>
              <w:t>4.</w:t>
            </w:r>
          </w:p>
        </w:tc>
        <w:tc>
          <w:tcPr>
            <w:tcW w:w="8789" w:type="dxa"/>
          </w:tcPr>
          <w:p w:rsidR="00D94E37" w:rsidRPr="00362417" w:rsidRDefault="00DE1AB3" w:rsidP="0068101B">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Reguła wydatkowa określona w znowelizowanym art. 242 ustawy o finansach publicznych i jej wpływ na indywidualny wskaźnik zadłużenia określony w art. 242 ww. ustawy.</w:t>
            </w:r>
          </w:p>
        </w:tc>
      </w:tr>
      <w:tr w:rsidR="00D94E37" w:rsidRPr="00362417" w:rsidTr="006F5EEB">
        <w:trPr>
          <w:trHeight w:val="379"/>
          <w:jc w:val="center"/>
        </w:trPr>
        <w:tc>
          <w:tcPr>
            <w:tcW w:w="562" w:type="dxa"/>
          </w:tcPr>
          <w:p w:rsidR="00D94E37" w:rsidRPr="00362417" w:rsidRDefault="0068101B" w:rsidP="001C0B70">
            <w:pPr>
              <w:jc w:val="both"/>
              <w:rPr>
                <w:rFonts w:cs="Times New Roman"/>
                <w:b/>
                <w:sz w:val="24"/>
                <w:szCs w:val="24"/>
              </w:rPr>
            </w:pPr>
            <w:r w:rsidRPr="00362417">
              <w:rPr>
                <w:rFonts w:cs="Times New Roman"/>
                <w:b/>
                <w:sz w:val="24"/>
                <w:szCs w:val="24"/>
              </w:rPr>
              <w:t>5.</w:t>
            </w:r>
          </w:p>
        </w:tc>
        <w:tc>
          <w:tcPr>
            <w:tcW w:w="8789" w:type="dxa"/>
          </w:tcPr>
          <w:p w:rsidR="00D94E37" w:rsidRPr="00362417" w:rsidRDefault="00DE1AB3" w:rsidP="0068101B">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Katalog tytułów dłużnych określony w art. 72 ustawy o finansach publicznych i jego prawne konsekwencje dla jst.</w:t>
            </w:r>
          </w:p>
        </w:tc>
      </w:tr>
      <w:tr w:rsidR="00D94E37" w:rsidRPr="00362417" w:rsidTr="006F5EEB">
        <w:trPr>
          <w:trHeight w:val="379"/>
          <w:jc w:val="center"/>
        </w:trPr>
        <w:tc>
          <w:tcPr>
            <w:tcW w:w="562" w:type="dxa"/>
          </w:tcPr>
          <w:p w:rsidR="00D94E37" w:rsidRPr="00362417" w:rsidRDefault="00BE374E" w:rsidP="001C0B70">
            <w:pPr>
              <w:jc w:val="both"/>
              <w:rPr>
                <w:rFonts w:cs="Times New Roman"/>
                <w:b/>
                <w:sz w:val="24"/>
                <w:szCs w:val="24"/>
              </w:rPr>
            </w:pPr>
            <w:r>
              <w:rPr>
                <w:rFonts w:cs="Times New Roman"/>
                <w:b/>
                <w:sz w:val="24"/>
                <w:szCs w:val="24"/>
              </w:rPr>
              <w:t>II</w:t>
            </w:r>
            <w:bookmarkStart w:id="0" w:name="_GoBack"/>
            <w:bookmarkEnd w:id="0"/>
          </w:p>
        </w:tc>
        <w:tc>
          <w:tcPr>
            <w:tcW w:w="8789" w:type="dxa"/>
          </w:tcPr>
          <w:p w:rsidR="00177869" w:rsidRPr="00362417" w:rsidRDefault="00177869" w:rsidP="001C0B70">
            <w:pPr>
              <w:pStyle w:val="Akapitzlist"/>
              <w:spacing w:after="0" w:line="240" w:lineRule="auto"/>
              <w:ind w:left="0"/>
              <w:jc w:val="center"/>
              <w:rPr>
                <w:rFonts w:ascii="Times New Roman" w:hAnsi="Times New Roman" w:cs="Times New Roman"/>
                <w:b/>
                <w:sz w:val="28"/>
                <w:szCs w:val="28"/>
              </w:rPr>
            </w:pPr>
            <w:r w:rsidRPr="00362417">
              <w:rPr>
                <w:rFonts w:ascii="Times New Roman" w:hAnsi="Times New Roman" w:cs="Times New Roman"/>
                <w:b/>
                <w:sz w:val="28"/>
                <w:szCs w:val="28"/>
              </w:rPr>
              <w:t>Problematyka związana z nowelizacją ustawy</w:t>
            </w:r>
          </w:p>
          <w:p w:rsidR="00D94E37" w:rsidRPr="00BE374E" w:rsidRDefault="00177869" w:rsidP="00BE374E">
            <w:pPr>
              <w:pStyle w:val="Akapitzlist"/>
              <w:spacing w:after="0" w:line="240" w:lineRule="auto"/>
              <w:ind w:left="0"/>
              <w:jc w:val="center"/>
              <w:rPr>
                <w:rFonts w:ascii="Times New Roman" w:hAnsi="Times New Roman" w:cs="Times New Roman"/>
                <w:b/>
                <w:sz w:val="28"/>
                <w:szCs w:val="28"/>
              </w:rPr>
            </w:pPr>
            <w:r w:rsidRPr="00362417">
              <w:rPr>
                <w:rFonts w:ascii="Times New Roman" w:hAnsi="Times New Roman" w:cs="Times New Roman"/>
                <w:b/>
                <w:sz w:val="28"/>
                <w:szCs w:val="28"/>
              </w:rPr>
              <w:t>o utrzymaniu czystości i porządku w gminach z dnia 19 lipca 2019 r.</w:t>
            </w:r>
          </w:p>
        </w:tc>
      </w:tr>
      <w:tr w:rsidR="00D94E37" w:rsidRPr="00362417" w:rsidTr="006F5EEB">
        <w:trPr>
          <w:trHeight w:val="379"/>
          <w:jc w:val="center"/>
        </w:trPr>
        <w:tc>
          <w:tcPr>
            <w:tcW w:w="562" w:type="dxa"/>
          </w:tcPr>
          <w:p w:rsidR="00D94E37" w:rsidRPr="00362417" w:rsidRDefault="00C147D4" w:rsidP="001C0B70">
            <w:pPr>
              <w:jc w:val="both"/>
              <w:rPr>
                <w:rFonts w:cs="Times New Roman"/>
                <w:b/>
                <w:sz w:val="24"/>
                <w:szCs w:val="24"/>
              </w:rPr>
            </w:pPr>
            <w:r w:rsidRPr="00362417">
              <w:rPr>
                <w:rFonts w:cs="Times New Roman"/>
                <w:b/>
                <w:sz w:val="24"/>
                <w:szCs w:val="24"/>
              </w:rPr>
              <w:t>7.</w:t>
            </w:r>
          </w:p>
        </w:tc>
        <w:tc>
          <w:tcPr>
            <w:tcW w:w="8789" w:type="dxa"/>
          </w:tcPr>
          <w:p w:rsidR="00D94E37" w:rsidRPr="00362417" w:rsidRDefault="006F5EEB" w:rsidP="0068101B">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Obowiązek samowystarczalności finansowej gmin w zakresie finansowania wydatków związanych z realizacją zadań w zakresie utrzymania czystości i porządku w gminach z opłat za gospodarowanie odpadami komunalnymi.</w:t>
            </w:r>
          </w:p>
        </w:tc>
      </w:tr>
      <w:tr w:rsidR="00D94E37" w:rsidRPr="00362417" w:rsidTr="006F5EEB">
        <w:trPr>
          <w:trHeight w:val="379"/>
          <w:jc w:val="center"/>
        </w:trPr>
        <w:tc>
          <w:tcPr>
            <w:tcW w:w="562" w:type="dxa"/>
          </w:tcPr>
          <w:p w:rsidR="00D94E37" w:rsidRPr="00362417" w:rsidRDefault="00C147D4" w:rsidP="001C0B70">
            <w:pPr>
              <w:jc w:val="both"/>
              <w:rPr>
                <w:rFonts w:cs="Times New Roman"/>
                <w:b/>
                <w:sz w:val="24"/>
                <w:szCs w:val="24"/>
              </w:rPr>
            </w:pPr>
            <w:r w:rsidRPr="00362417">
              <w:rPr>
                <w:rFonts w:cs="Times New Roman"/>
                <w:b/>
                <w:sz w:val="24"/>
                <w:szCs w:val="24"/>
              </w:rPr>
              <w:t>8.</w:t>
            </w:r>
          </w:p>
        </w:tc>
        <w:tc>
          <w:tcPr>
            <w:tcW w:w="8789" w:type="dxa"/>
          </w:tcPr>
          <w:p w:rsidR="00D94E37" w:rsidRPr="00362417" w:rsidRDefault="006F5EEB" w:rsidP="001C0B70">
            <w:pPr>
              <w:jc w:val="both"/>
              <w:rPr>
                <w:rFonts w:cs="Times New Roman"/>
                <w:sz w:val="24"/>
                <w:szCs w:val="24"/>
              </w:rPr>
            </w:pPr>
            <w:r w:rsidRPr="00362417">
              <w:rPr>
                <w:rFonts w:cs="Times New Roman"/>
                <w:sz w:val="24"/>
                <w:szCs w:val="24"/>
              </w:rPr>
              <w:t>Zagadnienie przeznaczania środków z opłat za gospodarowanie odpadami komunalnymi na wydatki związane z utrzymaniem systemu gospodarowania odpadami.</w:t>
            </w:r>
          </w:p>
        </w:tc>
      </w:tr>
      <w:tr w:rsidR="00D94E37" w:rsidRPr="00362417" w:rsidTr="006F5EEB">
        <w:trPr>
          <w:trHeight w:val="379"/>
          <w:jc w:val="center"/>
        </w:trPr>
        <w:tc>
          <w:tcPr>
            <w:tcW w:w="562" w:type="dxa"/>
          </w:tcPr>
          <w:p w:rsidR="00D94E37" w:rsidRPr="00362417" w:rsidRDefault="00C147D4" w:rsidP="001C0B70">
            <w:pPr>
              <w:jc w:val="both"/>
              <w:rPr>
                <w:rFonts w:cs="Times New Roman"/>
                <w:b/>
                <w:sz w:val="24"/>
                <w:szCs w:val="24"/>
              </w:rPr>
            </w:pPr>
            <w:r w:rsidRPr="00362417">
              <w:rPr>
                <w:rFonts w:cs="Times New Roman"/>
                <w:b/>
                <w:sz w:val="24"/>
                <w:szCs w:val="24"/>
              </w:rPr>
              <w:t>9.</w:t>
            </w:r>
          </w:p>
        </w:tc>
        <w:tc>
          <w:tcPr>
            <w:tcW w:w="8789" w:type="dxa"/>
          </w:tcPr>
          <w:p w:rsidR="00D94E37" w:rsidRPr="00362417" w:rsidRDefault="006F5EEB" w:rsidP="00C147D4">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Charakter prawny opłat za gospodarowanie odpadami komunalnymi.</w:t>
            </w:r>
          </w:p>
        </w:tc>
      </w:tr>
      <w:tr w:rsidR="00D94E37" w:rsidRPr="00362417" w:rsidTr="006F5EEB">
        <w:trPr>
          <w:trHeight w:val="379"/>
          <w:jc w:val="center"/>
        </w:trPr>
        <w:tc>
          <w:tcPr>
            <w:tcW w:w="562" w:type="dxa"/>
          </w:tcPr>
          <w:p w:rsidR="00D94E37" w:rsidRPr="00362417" w:rsidRDefault="00C147D4" w:rsidP="001C0B70">
            <w:pPr>
              <w:jc w:val="both"/>
              <w:rPr>
                <w:rFonts w:cs="Times New Roman"/>
                <w:b/>
                <w:sz w:val="24"/>
                <w:szCs w:val="24"/>
              </w:rPr>
            </w:pPr>
            <w:r w:rsidRPr="00362417">
              <w:rPr>
                <w:rFonts w:cs="Times New Roman"/>
                <w:b/>
                <w:sz w:val="24"/>
                <w:szCs w:val="24"/>
              </w:rPr>
              <w:t>10.</w:t>
            </w:r>
          </w:p>
        </w:tc>
        <w:tc>
          <w:tcPr>
            <w:tcW w:w="8789" w:type="dxa"/>
          </w:tcPr>
          <w:p w:rsidR="00D94E37" w:rsidRPr="00362417" w:rsidRDefault="006F5EEB" w:rsidP="00C147D4">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Metody ustalania opłat za gospodarowanie odpadami komunalnymi, sposób ich kalkulacji oraz wymiaru.</w:t>
            </w:r>
          </w:p>
        </w:tc>
      </w:tr>
      <w:tr w:rsidR="00D94E37" w:rsidRPr="00362417" w:rsidTr="006F5EEB">
        <w:trPr>
          <w:trHeight w:val="379"/>
          <w:jc w:val="center"/>
        </w:trPr>
        <w:tc>
          <w:tcPr>
            <w:tcW w:w="562" w:type="dxa"/>
          </w:tcPr>
          <w:p w:rsidR="00D94E37" w:rsidRPr="00362417" w:rsidRDefault="00C147D4" w:rsidP="001C0B70">
            <w:pPr>
              <w:jc w:val="both"/>
              <w:rPr>
                <w:rFonts w:cs="Times New Roman"/>
                <w:b/>
                <w:sz w:val="24"/>
                <w:szCs w:val="24"/>
              </w:rPr>
            </w:pPr>
            <w:r w:rsidRPr="00362417">
              <w:rPr>
                <w:rFonts w:cs="Times New Roman"/>
                <w:b/>
                <w:sz w:val="24"/>
                <w:szCs w:val="24"/>
              </w:rPr>
              <w:t>11.</w:t>
            </w:r>
          </w:p>
        </w:tc>
        <w:tc>
          <w:tcPr>
            <w:tcW w:w="8789" w:type="dxa"/>
          </w:tcPr>
          <w:p w:rsidR="00D94E37" w:rsidRPr="00362417" w:rsidRDefault="006F5EEB" w:rsidP="00C147D4">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Zakres stosowania przepisów ustawy Ordynacja podatkowa do zagadnień dotyczących opłat za gospodarowanie odpadami komunalnymi.</w:t>
            </w:r>
          </w:p>
        </w:tc>
      </w:tr>
      <w:tr w:rsidR="00D94E37" w:rsidRPr="00362417" w:rsidTr="006F5EEB">
        <w:trPr>
          <w:trHeight w:val="379"/>
          <w:jc w:val="center"/>
        </w:trPr>
        <w:tc>
          <w:tcPr>
            <w:tcW w:w="562" w:type="dxa"/>
          </w:tcPr>
          <w:p w:rsidR="00D94E37" w:rsidRPr="00362417" w:rsidRDefault="00C147D4" w:rsidP="001C0B70">
            <w:pPr>
              <w:jc w:val="both"/>
              <w:rPr>
                <w:rFonts w:cs="Times New Roman"/>
                <w:b/>
                <w:sz w:val="24"/>
                <w:szCs w:val="24"/>
              </w:rPr>
            </w:pPr>
            <w:r w:rsidRPr="00362417">
              <w:rPr>
                <w:rFonts w:cs="Times New Roman"/>
                <w:b/>
                <w:sz w:val="24"/>
                <w:szCs w:val="24"/>
              </w:rPr>
              <w:t>12.</w:t>
            </w:r>
          </w:p>
        </w:tc>
        <w:tc>
          <w:tcPr>
            <w:tcW w:w="8789" w:type="dxa"/>
          </w:tcPr>
          <w:p w:rsidR="00D94E37" w:rsidRPr="00362417" w:rsidRDefault="006F5EEB" w:rsidP="00C147D4">
            <w:pPr>
              <w:pStyle w:val="Akapitzlist"/>
              <w:spacing w:after="0" w:line="240" w:lineRule="auto"/>
              <w:ind w:left="0"/>
              <w:jc w:val="both"/>
              <w:rPr>
                <w:rFonts w:ascii="Times New Roman" w:hAnsi="Times New Roman" w:cs="Times New Roman"/>
                <w:sz w:val="24"/>
                <w:szCs w:val="24"/>
              </w:rPr>
            </w:pPr>
            <w:r w:rsidRPr="00362417">
              <w:rPr>
                <w:rFonts w:ascii="Times New Roman" w:hAnsi="Times New Roman" w:cs="Times New Roman"/>
                <w:sz w:val="24"/>
                <w:szCs w:val="24"/>
              </w:rPr>
              <w:t>Regulamin utrzymania czystości i porządku w gminach po nowelizacji ustawy o utrzymaniu czystości i porządku w gminach.</w:t>
            </w:r>
          </w:p>
        </w:tc>
      </w:tr>
      <w:tr w:rsidR="005F591A" w:rsidRPr="00362417" w:rsidTr="006F5EEB">
        <w:trPr>
          <w:trHeight w:val="379"/>
          <w:jc w:val="center"/>
        </w:trPr>
        <w:tc>
          <w:tcPr>
            <w:tcW w:w="562" w:type="dxa"/>
          </w:tcPr>
          <w:p w:rsidR="005F591A" w:rsidRPr="00362417" w:rsidRDefault="00D94E37" w:rsidP="001C0B70">
            <w:pPr>
              <w:jc w:val="both"/>
              <w:rPr>
                <w:rFonts w:cs="Times New Roman"/>
                <w:b/>
                <w:sz w:val="24"/>
                <w:szCs w:val="24"/>
              </w:rPr>
            </w:pPr>
            <w:r w:rsidRPr="00362417">
              <w:rPr>
                <w:rFonts w:cs="Times New Roman"/>
                <w:b/>
                <w:sz w:val="24"/>
                <w:szCs w:val="24"/>
              </w:rPr>
              <w:t>III</w:t>
            </w:r>
          </w:p>
        </w:tc>
        <w:tc>
          <w:tcPr>
            <w:tcW w:w="8789" w:type="dxa"/>
          </w:tcPr>
          <w:p w:rsidR="005F591A" w:rsidRPr="00362417" w:rsidRDefault="0004217C" w:rsidP="001C0B70">
            <w:pPr>
              <w:jc w:val="both"/>
              <w:rPr>
                <w:rFonts w:cs="Times New Roman"/>
                <w:b/>
                <w:sz w:val="24"/>
                <w:szCs w:val="24"/>
              </w:rPr>
            </w:pPr>
            <w:r w:rsidRPr="00362417">
              <w:rPr>
                <w:rFonts w:cs="Times New Roman"/>
                <w:b/>
                <w:sz w:val="24"/>
                <w:szCs w:val="24"/>
              </w:rPr>
              <w:t xml:space="preserve">INNE </w:t>
            </w:r>
            <w:r w:rsidR="005F591A" w:rsidRPr="00362417">
              <w:rPr>
                <w:rFonts w:cs="Times New Roman"/>
                <w:b/>
                <w:sz w:val="24"/>
                <w:szCs w:val="24"/>
              </w:rPr>
              <w:t>PROBLEMY, CASUSY, STANOWISKA, UWAGI, WĄTPLIWOŚCI…</w:t>
            </w:r>
          </w:p>
        </w:tc>
      </w:tr>
      <w:tr w:rsidR="006B5086" w:rsidRPr="00362417" w:rsidTr="006F5EEB">
        <w:trPr>
          <w:trHeight w:val="379"/>
          <w:jc w:val="center"/>
        </w:trPr>
        <w:tc>
          <w:tcPr>
            <w:tcW w:w="562" w:type="dxa"/>
          </w:tcPr>
          <w:p w:rsidR="006B5086" w:rsidRPr="00362417" w:rsidRDefault="00C147D4" w:rsidP="001C0B70">
            <w:pPr>
              <w:jc w:val="both"/>
              <w:rPr>
                <w:rFonts w:cs="Times New Roman"/>
                <w:b/>
                <w:sz w:val="24"/>
                <w:szCs w:val="24"/>
              </w:rPr>
            </w:pPr>
            <w:r w:rsidRPr="00362417">
              <w:rPr>
                <w:rFonts w:cs="Times New Roman"/>
                <w:b/>
                <w:sz w:val="24"/>
                <w:szCs w:val="24"/>
              </w:rPr>
              <w:t>12.</w:t>
            </w:r>
          </w:p>
        </w:tc>
        <w:tc>
          <w:tcPr>
            <w:tcW w:w="8789" w:type="dxa"/>
          </w:tcPr>
          <w:p w:rsidR="006B5086" w:rsidRPr="00362417" w:rsidRDefault="007333A0" w:rsidP="001C0B70">
            <w:pPr>
              <w:jc w:val="both"/>
              <w:rPr>
                <w:rFonts w:cs="Times New Roman"/>
                <w:b/>
                <w:sz w:val="24"/>
                <w:szCs w:val="24"/>
              </w:rPr>
            </w:pPr>
            <w:r w:rsidRPr="00362417">
              <w:rPr>
                <w:rFonts w:cs="Times New Roman"/>
              </w:rPr>
              <w:t>W związku ze wzmocnieniem nadzoru nad rynkiem finansowym</w:t>
            </w:r>
            <w:r w:rsidRPr="00362417">
              <w:rPr>
                <w:rFonts w:cs="Times New Roman"/>
              </w:rPr>
              <w:t xml:space="preserve">, wprowadzono </w:t>
            </w:r>
            <w:r w:rsidRPr="00362417">
              <w:rPr>
                <w:rFonts w:cs="Times New Roman"/>
              </w:rPr>
              <w:t>dodatkowe obowiązki w zakresie emis</w:t>
            </w:r>
            <w:r w:rsidRPr="00362417">
              <w:rPr>
                <w:rFonts w:cs="Times New Roman"/>
              </w:rPr>
              <w:t xml:space="preserve">ji obligacji komunalnych przez </w:t>
            </w:r>
            <w:r w:rsidRPr="00362417">
              <w:rPr>
                <w:rFonts w:cs="Times New Roman"/>
              </w:rPr>
              <w:t xml:space="preserve">samorządy przed i po 1 lipca 2019 r. </w:t>
            </w:r>
            <w:r w:rsidRPr="00362417">
              <w:rPr>
                <w:rFonts w:cs="Times New Roman"/>
              </w:rPr>
              <w:t xml:space="preserve">Gmina korzystała chętnie z tej </w:t>
            </w:r>
            <w:r w:rsidRPr="00362417">
              <w:rPr>
                <w:rFonts w:cs="Times New Roman"/>
              </w:rPr>
              <w:t>formy w celu sfinansowania zadań zapis</w:t>
            </w:r>
            <w:r w:rsidRPr="00362417">
              <w:rPr>
                <w:rFonts w:cs="Times New Roman"/>
              </w:rPr>
              <w:t xml:space="preserve">anych w wieloletniej prognozie </w:t>
            </w:r>
            <w:r w:rsidRPr="00362417">
              <w:rPr>
                <w:rFonts w:cs="Times New Roman"/>
              </w:rPr>
              <w:t xml:space="preserve">finansowej i w budżecie. Po zmianie przepisów, nie do końca dla nas </w:t>
            </w:r>
            <w:r w:rsidRPr="00362417">
              <w:rPr>
                <w:rFonts w:cs="Times New Roman"/>
              </w:rPr>
              <w:br/>
              <w:t xml:space="preserve">jasnych, trudno ocenić koszty emisji i </w:t>
            </w:r>
            <w:r w:rsidRPr="00362417">
              <w:rPr>
                <w:rFonts w:cs="Times New Roman"/>
              </w:rPr>
              <w:t xml:space="preserve">wybrać najkorzystniejszą formę </w:t>
            </w:r>
            <w:r w:rsidRPr="00362417">
              <w:rPr>
                <w:rFonts w:cs="Times New Roman"/>
              </w:rPr>
              <w:t xml:space="preserve">kredytowania. Dokładana analiza obcych źródeł </w:t>
            </w:r>
            <w:r w:rsidRPr="00362417">
              <w:rPr>
                <w:rFonts w:cs="Times New Roman"/>
              </w:rPr>
              <w:t xml:space="preserve">finansowania tj. kredyt, </w:t>
            </w:r>
            <w:r w:rsidRPr="00362417">
              <w:rPr>
                <w:rFonts w:cs="Times New Roman"/>
              </w:rPr>
              <w:t>obligacje komunalne, obligacje pr</w:t>
            </w:r>
            <w:r w:rsidRPr="00362417">
              <w:rPr>
                <w:rFonts w:cs="Times New Roman"/>
              </w:rPr>
              <w:t xml:space="preserve">zychodowe i inne byłaby bardzo </w:t>
            </w:r>
            <w:r w:rsidRPr="00362417">
              <w:rPr>
                <w:rFonts w:cs="Times New Roman"/>
              </w:rPr>
              <w:t xml:space="preserve">przydatna w perspektywie realizacji wieloletnich zadań inwestycyjnych </w:t>
            </w:r>
            <w:r w:rsidRPr="00362417">
              <w:rPr>
                <w:rFonts w:cs="Times New Roman"/>
              </w:rPr>
              <w:br/>
              <w:t>oraz ograniczeń możliwości zaciągania zobowiązań dłużnych.</w:t>
            </w:r>
          </w:p>
        </w:tc>
      </w:tr>
      <w:tr w:rsidR="00DE5F8E" w:rsidRPr="00362417" w:rsidTr="006F5EEB">
        <w:trPr>
          <w:trHeight w:val="379"/>
          <w:jc w:val="center"/>
        </w:trPr>
        <w:tc>
          <w:tcPr>
            <w:tcW w:w="562" w:type="dxa"/>
          </w:tcPr>
          <w:p w:rsidR="00DE5F8E" w:rsidRPr="00362417" w:rsidRDefault="00C147D4" w:rsidP="001C0B70">
            <w:pPr>
              <w:jc w:val="both"/>
              <w:rPr>
                <w:rFonts w:cs="Times New Roman"/>
                <w:b/>
                <w:sz w:val="24"/>
                <w:szCs w:val="24"/>
              </w:rPr>
            </w:pPr>
            <w:r w:rsidRPr="00362417">
              <w:rPr>
                <w:rFonts w:cs="Times New Roman"/>
                <w:b/>
                <w:sz w:val="24"/>
                <w:szCs w:val="24"/>
              </w:rPr>
              <w:t>13.</w:t>
            </w:r>
          </w:p>
        </w:tc>
        <w:tc>
          <w:tcPr>
            <w:tcW w:w="8789" w:type="dxa"/>
          </w:tcPr>
          <w:p w:rsidR="00DE5F8E" w:rsidRPr="00362417" w:rsidRDefault="0064318D" w:rsidP="001C0B70">
            <w:pPr>
              <w:jc w:val="both"/>
              <w:rPr>
                <w:rFonts w:cs="Times New Roman"/>
                <w:sz w:val="24"/>
                <w:szCs w:val="24"/>
              </w:rPr>
            </w:pPr>
            <w:r w:rsidRPr="00362417">
              <w:rPr>
                <w:rFonts w:cs="Times New Roman"/>
                <w:sz w:val="24"/>
                <w:szCs w:val="24"/>
              </w:rPr>
              <w:t>Problematyka r</w:t>
            </w:r>
            <w:r w:rsidR="00DE5F8E" w:rsidRPr="00362417">
              <w:rPr>
                <w:rFonts w:cs="Times New Roman"/>
                <w:sz w:val="24"/>
                <w:szCs w:val="24"/>
              </w:rPr>
              <w:t>aport</w:t>
            </w:r>
            <w:r w:rsidRPr="00362417">
              <w:rPr>
                <w:rFonts w:cs="Times New Roman"/>
                <w:sz w:val="24"/>
                <w:szCs w:val="24"/>
              </w:rPr>
              <w:t>u</w:t>
            </w:r>
            <w:r w:rsidR="00DE5F8E" w:rsidRPr="00362417">
              <w:rPr>
                <w:rFonts w:cs="Times New Roman"/>
                <w:sz w:val="24"/>
                <w:szCs w:val="24"/>
              </w:rPr>
              <w:t xml:space="preserve"> o stanie jednostki samorządu terytorialnego – jego przygotowanie, zakres przedmiotowy, sposób procedowania.</w:t>
            </w:r>
            <w:r w:rsidR="00D522F0" w:rsidRPr="00362417">
              <w:rPr>
                <w:rFonts w:cs="Times New Roman"/>
                <w:sz w:val="24"/>
                <w:szCs w:val="24"/>
              </w:rPr>
              <w:t xml:space="preserve"> </w:t>
            </w:r>
          </w:p>
        </w:tc>
      </w:tr>
      <w:tr w:rsidR="00DE5F8E" w:rsidRPr="00362417" w:rsidTr="006F5EEB">
        <w:trPr>
          <w:trHeight w:val="379"/>
          <w:jc w:val="center"/>
        </w:trPr>
        <w:tc>
          <w:tcPr>
            <w:tcW w:w="562" w:type="dxa"/>
          </w:tcPr>
          <w:p w:rsidR="00DE5F8E" w:rsidRPr="00362417" w:rsidRDefault="00C147D4" w:rsidP="001C0B70">
            <w:pPr>
              <w:jc w:val="both"/>
              <w:rPr>
                <w:rFonts w:cs="Times New Roman"/>
                <w:b/>
                <w:sz w:val="24"/>
                <w:szCs w:val="24"/>
              </w:rPr>
            </w:pPr>
            <w:r w:rsidRPr="00362417">
              <w:rPr>
                <w:rFonts w:cs="Times New Roman"/>
                <w:b/>
                <w:sz w:val="24"/>
                <w:szCs w:val="24"/>
              </w:rPr>
              <w:t>14.</w:t>
            </w:r>
          </w:p>
        </w:tc>
        <w:tc>
          <w:tcPr>
            <w:tcW w:w="8789" w:type="dxa"/>
          </w:tcPr>
          <w:p w:rsidR="00D522F0" w:rsidRPr="00362417" w:rsidRDefault="00DE5F8E" w:rsidP="001C0B70">
            <w:pPr>
              <w:jc w:val="both"/>
              <w:rPr>
                <w:rFonts w:cs="Times New Roman"/>
                <w:sz w:val="24"/>
                <w:szCs w:val="24"/>
              </w:rPr>
            </w:pPr>
            <w:r w:rsidRPr="00362417">
              <w:rPr>
                <w:rFonts w:cs="Times New Roman"/>
                <w:sz w:val="24"/>
                <w:szCs w:val="24"/>
              </w:rPr>
              <w:t xml:space="preserve">Instytucja wotum zaufania dla organu wykonawczego jednostki samorządu terytorialnego i prawne konsekwencje jego udzielenia/nieudzielenia. </w:t>
            </w:r>
          </w:p>
          <w:p w:rsidR="00DE5F8E" w:rsidRPr="00362417" w:rsidRDefault="00D522F0" w:rsidP="001C0B70">
            <w:pPr>
              <w:jc w:val="both"/>
              <w:rPr>
                <w:rFonts w:cs="Times New Roman"/>
                <w:sz w:val="24"/>
                <w:szCs w:val="24"/>
              </w:rPr>
            </w:pPr>
            <w:r w:rsidRPr="00362417">
              <w:rPr>
                <w:rFonts w:cs="Times New Roman"/>
                <w:sz w:val="24"/>
                <w:szCs w:val="24"/>
              </w:rPr>
              <w:t>Zagadnienia te wciąż budzą wątpliwości.</w:t>
            </w:r>
          </w:p>
        </w:tc>
      </w:tr>
      <w:tr w:rsidR="005F591A" w:rsidRPr="00362417" w:rsidTr="006F5EEB">
        <w:trPr>
          <w:trHeight w:val="379"/>
          <w:jc w:val="center"/>
        </w:trPr>
        <w:tc>
          <w:tcPr>
            <w:tcW w:w="562" w:type="dxa"/>
          </w:tcPr>
          <w:p w:rsidR="005F591A" w:rsidRPr="00362417" w:rsidRDefault="00C147D4" w:rsidP="001C0B70">
            <w:pPr>
              <w:jc w:val="both"/>
              <w:rPr>
                <w:rFonts w:cs="Times New Roman"/>
                <w:b/>
                <w:sz w:val="24"/>
                <w:szCs w:val="24"/>
              </w:rPr>
            </w:pPr>
            <w:r w:rsidRPr="00362417">
              <w:rPr>
                <w:rFonts w:cs="Times New Roman"/>
                <w:b/>
                <w:sz w:val="24"/>
                <w:szCs w:val="24"/>
              </w:rPr>
              <w:t>15</w:t>
            </w:r>
            <w:r w:rsidR="005F591A" w:rsidRPr="00362417">
              <w:rPr>
                <w:rFonts w:cs="Times New Roman"/>
                <w:b/>
                <w:sz w:val="24"/>
                <w:szCs w:val="24"/>
              </w:rPr>
              <w:t>.</w:t>
            </w:r>
          </w:p>
        </w:tc>
        <w:tc>
          <w:tcPr>
            <w:tcW w:w="8789" w:type="dxa"/>
          </w:tcPr>
          <w:p w:rsidR="005F591A" w:rsidRPr="00362417" w:rsidRDefault="005F591A" w:rsidP="001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lang w:eastAsia="pl-PL"/>
              </w:rPr>
            </w:pPr>
            <w:r w:rsidRPr="00362417">
              <w:rPr>
                <w:rFonts w:eastAsia="Times New Roman" w:cs="Times New Roman"/>
                <w:sz w:val="24"/>
                <w:szCs w:val="24"/>
                <w:lang w:eastAsia="pl-PL"/>
              </w:rPr>
              <w:t>Konieczność finansowania (zwrotu) kosztów wynikających z uczęszczaniem dzieci do przedszkoli, szkół na terenach innych gmin</w:t>
            </w:r>
            <w:r w:rsidR="008B6A60" w:rsidRPr="00362417">
              <w:rPr>
                <w:rFonts w:eastAsia="Times New Roman" w:cs="Times New Roman"/>
                <w:sz w:val="24"/>
                <w:szCs w:val="24"/>
                <w:lang w:eastAsia="pl-PL"/>
              </w:rPr>
              <w:t xml:space="preserve"> i powiatów.</w:t>
            </w:r>
            <w:r w:rsidRPr="00362417">
              <w:rPr>
                <w:rFonts w:eastAsia="Times New Roman" w:cs="Times New Roman"/>
                <w:sz w:val="24"/>
                <w:szCs w:val="24"/>
                <w:lang w:eastAsia="pl-PL"/>
              </w:rPr>
              <w:t>.</w:t>
            </w:r>
          </w:p>
        </w:tc>
      </w:tr>
      <w:tr w:rsidR="005F591A" w:rsidRPr="00362417" w:rsidTr="006F5EEB">
        <w:trPr>
          <w:trHeight w:val="303"/>
          <w:jc w:val="center"/>
        </w:trPr>
        <w:tc>
          <w:tcPr>
            <w:tcW w:w="562" w:type="dxa"/>
          </w:tcPr>
          <w:p w:rsidR="005F591A" w:rsidRPr="00362417" w:rsidRDefault="00C147D4" w:rsidP="001C0B70">
            <w:pPr>
              <w:jc w:val="both"/>
              <w:rPr>
                <w:rFonts w:cs="Times New Roman"/>
                <w:b/>
                <w:sz w:val="24"/>
                <w:szCs w:val="24"/>
              </w:rPr>
            </w:pPr>
            <w:r w:rsidRPr="00362417">
              <w:rPr>
                <w:rFonts w:cs="Times New Roman"/>
                <w:b/>
                <w:sz w:val="24"/>
                <w:szCs w:val="24"/>
              </w:rPr>
              <w:t>16</w:t>
            </w:r>
            <w:r w:rsidR="005F591A" w:rsidRPr="00362417">
              <w:rPr>
                <w:rFonts w:cs="Times New Roman"/>
                <w:b/>
                <w:sz w:val="24"/>
                <w:szCs w:val="24"/>
              </w:rPr>
              <w:t>.</w:t>
            </w:r>
          </w:p>
        </w:tc>
        <w:tc>
          <w:tcPr>
            <w:tcW w:w="8789" w:type="dxa"/>
          </w:tcPr>
          <w:p w:rsidR="005F591A" w:rsidRPr="00362417" w:rsidRDefault="005F591A" w:rsidP="001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lang w:eastAsia="pl-PL"/>
              </w:rPr>
            </w:pPr>
            <w:r w:rsidRPr="00362417">
              <w:rPr>
                <w:rFonts w:eastAsia="Times New Roman" w:cs="Times New Roman"/>
                <w:sz w:val="24"/>
                <w:szCs w:val="24"/>
                <w:lang w:eastAsia="pl-PL"/>
              </w:rPr>
              <w:t xml:space="preserve">Finansowanie funkcjonowania systemu oświaty i jej permanentne niedofinansowanie.    </w:t>
            </w:r>
          </w:p>
        </w:tc>
      </w:tr>
      <w:tr w:rsidR="005F591A" w:rsidRPr="00362417" w:rsidTr="006F5EEB">
        <w:trPr>
          <w:trHeight w:val="379"/>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17</w:t>
            </w:r>
            <w:r w:rsidR="005F591A" w:rsidRPr="00362417">
              <w:rPr>
                <w:rFonts w:cs="Times New Roman"/>
                <w:b/>
                <w:sz w:val="24"/>
                <w:szCs w:val="24"/>
              </w:rPr>
              <w:t>.</w:t>
            </w:r>
          </w:p>
        </w:tc>
        <w:tc>
          <w:tcPr>
            <w:tcW w:w="8789" w:type="dxa"/>
          </w:tcPr>
          <w:p w:rsidR="005F591A" w:rsidRPr="00362417" w:rsidRDefault="005F591A" w:rsidP="001C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lang w:eastAsia="pl-PL"/>
              </w:rPr>
            </w:pPr>
            <w:r w:rsidRPr="00362417">
              <w:rPr>
                <w:rFonts w:eastAsia="Times New Roman" w:cs="Times New Roman"/>
                <w:sz w:val="24"/>
                <w:szCs w:val="24"/>
                <w:lang w:eastAsia="pl-PL"/>
              </w:rPr>
              <w:t xml:space="preserve">Kto ponosi odpowiedzialność finansową, lub koszty przywrócenia do stanu wymaganego prawem i spełniającego parametry techniczne,  bądź budowę nowej instalacji, w </w:t>
            </w:r>
            <w:r w:rsidRPr="00362417">
              <w:rPr>
                <w:rFonts w:eastAsia="Times New Roman" w:cs="Times New Roman"/>
                <w:sz w:val="24"/>
                <w:szCs w:val="24"/>
                <w:lang w:eastAsia="pl-PL"/>
              </w:rPr>
              <w:lastRenderedPageBreak/>
              <w:t xml:space="preserve">przypadku gdy infrastruktura  [wodna, deszczowa, gazowa, drogowa, itp.] nie spełniają wymogów jakościowych i parametrów, a zostały przejęte przez gminę </w:t>
            </w:r>
          </w:p>
        </w:tc>
      </w:tr>
      <w:tr w:rsidR="005F591A" w:rsidRPr="00362417" w:rsidTr="006F5EEB">
        <w:trPr>
          <w:trHeight w:val="379"/>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lastRenderedPageBreak/>
              <w:t>18</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Problem: interpretacja przepisów ustawy z dnia 16 listopada 2006r. o opłacie skarbowej (Dz.U. z 2015r., poz. 783 ze zmianami) i ustawy z dnia 13 listopada 2003r. o dochodach jednostek samorządu terytorialnego (Dz.U. z 2017r., poz.1453), dotyczące właściwości organu uzyskującego dochód z opłaty skarbowej za dokonanie czynności urzędowej, takiej jak wydanie zaświadczeń, zezwoleń lub złożenie pełnomocnictwa</w:t>
            </w:r>
          </w:p>
          <w:p w:rsidR="005F591A" w:rsidRPr="00362417" w:rsidRDefault="005F591A" w:rsidP="001C0B70">
            <w:pPr>
              <w:jc w:val="both"/>
              <w:rPr>
                <w:rFonts w:cs="Times New Roman"/>
                <w:sz w:val="24"/>
                <w:szCs w:val="24"/>
              </w:rPr>
            </w:pPr>
            <w:r w:rsidRPr="00362417">
              <w:rPr>
                <w:rFonts w:eastAsia="Times New Roman" w:cs="Times New Roman"/>
                <w:sz w:val="24"/>
                <w:szCs w:val="24"/>
                <w:lang w:eastAsia="pl-PL"/>
              </w:rPr>
              <w:t xml:space="preserve">Stan prawny: </w:t>
            </w:r>
            <w:r w:rsidRPr="00362417">
              <w:rPr>
                <w:rFonts w:cs="Times New Roman"/>
                <w:sz w:val="24"/>
                <w:szCs w:val="24"/>
              </w:rPr>
              <w:t>Zgodnie z obecnym stanem prawnym, organem właściwym miejscowo i beneficjentem w sprawach opłaty skarbowej (ale tylko uiszczanej gotówką) od wspomnianych wyżej czynności administracyjnych jest wójt danej gminy. Opłaty dokonywane na konto gminy w banku lub na poczcie także traktuje się jak opłaty dokonane gotówką; ale już opłaty dokonywane w formie przelewu bankowego z konta na konto (obecnie najczęściej praktykowane) stanowią dochód gminy, na terenie której ma siedzibę organ właściwy w sprawach opłaty skarbowej (tak jak w naszej sytuacji – Gmina Kwidzyn ma siedzibę na terenie Gminy – Miasta Kwidzyna). A zatem opłaty skarbowe dokonywane przelewem bankowym za czynności urzędowe wykonywane przez Gminę Kwidzyn stanowią dochód Miasta Kwidzyn, mimo że Miasto nie dokonuje tych czynności urzędowych.</w:t>
            </w:r>
          </w:p>
          <w:p w:rsidR="005F591A" w:rsidRPr="00362417" w:rsidRDefault="00D522F0" w:rsidP="001C0B70">
            <w:pPr>
              <w:jc w:val="both"/>
              <w:rPr>
                <w:rFonts w:cs="Times New Roman"/>
                <w:sz w:val="24"/>
                <w:szCs w:val="24"/>
              </w:rPr>
            </w:pPr>
            <w:r w:rsidRPr="00362417">
              <w:rPr>
                <w:rFonts w:cs="Times New Roman"/>
                <w:sz w:val="24"/>
                <w:szCs w:val="24"/>
              </w:rPr>
              <w:t>Czy możliwe jest następujące p</w:t>
            </w:r>
            <w:r w:rsidR="005F591A" w:rsidRPr="00362417">
              <w:rPr>
                <w:rFonts w:cs="Times New Roman"/>
                <w:sz w:val="24"/>
                <w:szCs w:val="24"/>
              </w:rPr>
              <w:t>roponowane rozwiązanie: Należy urealnić zapis art. 14 ustawy z dnia 13 listopada 2003r. o dochodach jednostek samorządu terytorialnego (Dz.U. z 2017r., poz.1453), gdyż jego obecna treść przyczynia się do utraty dochodów gmin mających siedzibę na terenie innej gminy, a których organy dokonują faktycznych czynności urzędowych.</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19</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Zgodnie z uchwałą Rady, można przekazywać nieruchomości na potrzeby sakralne, kulturalne, edukacyjne, sportowe, ochrony zdrowia, pomocy społecznej i inne uzasadnione istotnymi względami społecznymi, ze znaczącą bonifikatą, sięgająca nawet 90%. Odbywa się to pod warunkiem wypełnienia przez otrzymujący bonifikatę podmiot warunków określonych w umowie, najczęściej dotyczących konkretnych zobowiązań danego podmiotu, co do warunków zagospodarowania przekazanej nieruchomości oraz określonego okresu, w którym nie wolno nieruchomości bądź jej części zbyć podmiotom trzecim na inne cele, a zwłaszcza komercyjne.</w:t>
            </w:r>
          </w:p>
          <w:p w:rsidR="005F591A" w:rsidRPr="00362417" w:rsidRDefault="005F591A" w:rsidP="001C0B70">
            <w:pPr>
              <w:jc w:val="both"/>
              <w:rPr>
                <w:rFonts w:cs="Times New Roman"/>
                <w:sz w:val="24"/>
                <w:szCs w:val="24"/>
              </w:rPr>
            </w:pPr>
            <w:r w:rsidRPr="00362417">
              <w:rPr>
                <w:rFonts w:cs="Times New Roman"/>
                <w:sz w:val="24"/>
                <w:szCs w:val="24"/>
              </w:rPr>
              <w:t>Jednakże zdarzają się wypadki, że przed upłynięciem wskazanego terminu następuje zbycie, na ogół części przekazanej nieruchomości. Jest to różnie motywowane, ale w minionym okresie, często można się było spotkać z uzasadnieniem znacznym wzrostem cen i kosztów uniemożliwiającym pełną realizację, lub w ogóle realizację zamierzonych celów, a sprzedaż części nieruchomości miała służyć właśnie umożliwieniu realizacji zamierzonych zadań i osiągnięcia umówionych celów.</w:t>
            </w:r>
          </w:p>
          <w:p w:rsidR="005F591A" w:rsidRPr="00362417" w:rsidRDefault="005F591A" w:rsidP="001C0B70">
            <w:pPr>
              <w:jc w:val="both"/>
              <w:rPr>
                <w:rFonts w:cs="Times New Roman"/>
                <w:sz w:val="24"/>
                <w:szCs w:val="24"/>
              </w:rPr>
            </w:pPr>
            <w:r w:rsidRPr="00362417">
              <w:rPr>
                <w:rFonts w:cs="Times New Roman"/>
                <w:sz w:val="24"/>
                <w:szCs w:val="24"/>
              </w:rPr>
              <w:t xml:space="preserve">Zakładając nawet prawdziwość takiej argumentacji, czy gmina może odstąpić od wyegzekwowania bonifikaty? Czy też ma obowiązek ją wyegzekwować, nawet jeśli uznaje i potwierdzi ze stanem faktycznym argumentację podmiotu, który wcześniej otrzymał określoną bonifikatę. Jaki też jest zakres owej „egzekucji”. Czy dotyczy on całości bonifikaty, czy też jedynie tej jej części, która dotyczy przedwcześnie i niezgodnie z zobowiązaniem zbytej nieruchomości. </w:t>
            </w:r>
          </w:p>
          <w:p w:rsidR="005F591A" w:rsidRPr="00362417" w:rsidRDefault="005F591A" w:rsidP="001C0B70">
            <w:pPr>
              <w:jc w:val="both"/>
              <w:rPr>
                <w:rFonts w:cs="Times New Roman"/>
                <w:sz w:val="24"/>
                <w:szCs w:val="24"/>
              </w:rPr>
            </w:pPr>
            <w:r w:rsidRPr="00362417">
              <w:rPr>
                <w:rFonts w:cs="Times New Roman"/>
                <w:sz w:val="24"/>
                <w:szCs w:val="24"/>
              </w:rPr>
              <w:t>Czy po stwierdzeniu rzeczywistego wypełnienia zobowiązań wynikających z umowy gmina może odstąpić od egzekucji określonej całości lub części bonifikaty, bądź ją w części lub pozostałej do spłaty wielkości umorzyć?</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20</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 xml:space="preserve">Wielokrotnie zdarza się, iż realizacja znaczących dla samorządu inwestycji  jest wstrzymywana lub  „blokowana” prze różne organizacje „ekologiczne”, składające wiele wniosków na etapie planowania, uchwalania, projektowania, a także ich realizacji. </w:t>
            </w:r>
          </w:p>
          <w:p w:rsidR="005F591A" w:rsidRPr="00362417" w:rsidRDefault="005F591A" w:rsidP="001C0B70">
            <w:pPr>
              <w:jc w:val="both"/>
              <w:rPr>
                <w:rFonts w:cs="Times New Roman"/>
                <w:sz w:val="24"/>
                <w:szCs w:val="24"/>
              </w:rPr>
            </w:pPr>
            <w:r w:rsidRPr="00362417">
              <w:rPr>
                <w:rFonts w:cs="Times New Roman"/>
                <w:sz w:val="24"/>
                <w:szCs w:val="24"/>
              </w:rPr>
              <w:lastRenderedPageBreak/>
              <w:t xml:space="preserve"> Niezależnie od „szczytnych” uzasadnień, powodują one jednak realne szkody, dla inwestorów, dla jst, które na przykład muszą zamrażać środki, nie wiedząc kiedy sprawy się zakończą, a nawet tracą dotacje państwowe lub pochodzące ze środków UE.</w:t>
            </w:r>
          </w:p>
          <w:p w:rsidR="005F591A" w:rsidRPr="00362417" w:rsidRDefault="005F591A" w:rsidP="001C0B70">
            <w:pPr>
              <w:jc w:val="both"/>
              <w:rPr>
                <w:rFonts w:cs="Times New Roman"/>
                <w:sz w:val="24"/>
                <w:szCs w:val="24"/>
              </w:rPr>
            </w:pPr>
            <w:r w:rsidRPr="00362417">
              <w:rPr>
                <w:rFonts w:cs="Times New Roman"/>
                <w:sz w:val="24"/>
                <w:szCs w:val="24"/>
              </w:rPr>
              <w:t xml:space="preserve">Pomijamy tu kwestię nadmiernego umocowania prawnego takich organizacji, zwłaszcza w prawie dotyczącym ochrony środowiska, ale także zagospodarowania przestrzennego. </w:t>
            </w:r>
          </w:p>
          <w:p w:rsidR="005F591A" w:rsidRPr="00362417" w:rsidRDefault="005F591A" w:rsidP="001C0B70">
            <w:pPr>
              <w:jc w:val="both"/>
              <w:rPr>
                <w:rFonts w:cs="Times New Roman"/>
                <w:sz w:val="24"/>
                <w:szCs w:val="24"/>
              </w:rPr>
            </w:pPr>
            <w:r w:rsidRPr="00362417">
              <w:rPr>
                <w:rFonts w:cs="Times New Roman"/>
                <w:sz w:val="24"/>
                <w:szCs w:val="24"/>
              </w:rPr>
              <w:t>Pomijamy także, iż takie protesty, wnioski, działania mogą, a bywa, że i mają prawne i społeczne uzasadnienie.</w:t>
            </w:r>
          </w:p>
          <w:p w:rsidR="005F591A" w:rsidRPr="00362417" w:rsidRDefault="005F591A" w:rsidP="001C0B70">
            <w:pPr>
              <w:jc w:val="both"/>
              <w:rPr>
                <w:rFonts w:cs="Times New Roman"/>
                <w:sz w:val="24"/>
                <w:szCs w:val="24"/>
              </w:rPr>
            </w:pPr>
            <w:r w:rsidRPr="00362417">
              <w:rPr>
                <w:rFonts w:cs="Times New Roman"/>
                <w:sz w:val="24"/>
                <w:szCs w:val="24"/>
              </w:rPr>
              <w:t>Wątpliwość dotyczy jednakże tych działań, w których niektóre organizacje „specjalizują” się wręcz, a które to powodują wymierne, a często nieodwracalne szkody, a do tego w toku postępowania administracyjnego, bądź sądowego stwierdza się brak ich uzasadnienia prawnego. Bywa też że używa się pojęcia „rażący”. Niestety wadliwość prawa powoduje, że wyposaża ono owe organizacje w uprawnienia, ale nie ponoszą one za swe działanie odpowiedzialności.</w:t>
            </w:r>
          </w:p>
          <w:p w:rsidR="005F591A" w:rsidRPr="00362417" w:rsidRDefault="005F591A" w:rsidP="001C0B70">
            <w:pPr>
              <w:jc w:val="both"/>
              <w:rPr>
                <w:rFonts w:cs="Times New Roman"/>
                <w:sz w:val="24"/>
                <w:szCs w:val="24"/>
              </w:rPr>
            </w:pPr>
            <w:r w:rsidRPr="00362417">
              <w:rPr>
                <w:rFonts w:cs="Times New Roman"/>
                <w:sz w:val="24"/>
                <w:szCs w:val="24"/>
              </w:rPr>
              <w:t>Czy rzeczywiście jst nie posiadają instrumentów dochodzenia uzasadnionych i potwierdzonych strat z powodu nieuzasadnionych i nie mających podstaw prawnych, działań wspomnianych organizacji, czy też na gruncie prawa publicznego, bądź cywilnego można takie instrumenty wskazać.</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lastRenderedPageBreak/>
              <w:t>21</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 xml:space="preserve"> Komunalizacja plaż, czy jest możliwa w obecnym systemie prawnym? Co należy zrobić, aby ją umożliwić, jaki może mieć wpływ na rozwój gmin nadmorskich i ich dochodów?</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22</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Komunalizacja portów o strategicznym znaczeniu dla gospodarki narodowej,</w:t>
            </w:r>
            <w:r w:rsidRPr="00362417">
              <w:rPr>
                <w:rFonts w:cs="Times New Roman"/>
                <w:sz w:val="24"/>
                <w:szCs w:val="24"/>
              </w:rPr>
              <w:br/>
              <w:t>   jakie korzyści może przynieść dla gminy/regionu/kraju?</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23</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Jakie są sposoby udzielania pomocy przez jst innym jst, które zostały dotknięte tragedią różnych klęsk żywiołowych. Czy istnieje „bezpieczna” prawnie (dyscyplina finansów publicznych, zadania gminy, powiatu, województwa) forma przekazywania środków, bądź pomocy w formie rzeczowej lub usług. Czy jest możliwe np. utworzenie czegoś w rodzaju „funduszu reasekuracyjnego”, na który jst wpłacały by cyklicznie bądź doraźnie pewne kwoty, a który służyłby szybkiej pomocy, bez karkołomnych procedur, gdy zaistnieje taka potrzeba. Byłoby to przydatne zwłaszcza biorąc pod uwagę niewydolność państwa i administracji centralnej w takich sytuacjach.</w:t>
            </w:r>
          </w:p>
        </w:tc>
      </w:tr>
      <w:tr w:rsidR="005F591A" w:rsidRPr="00362417" w:rsidTr="006F5EEB">
        <w:trPr>
          <w:jc w:val="center"/>
        </w:trPr>
        <w:tc>
          <w:tcPr>
            <w:tcW w:w="562" w:type="dxa"/>
          </w:tcPr>
          <w:p w:rsidR="005F591A" w:rsidRPr="00362417" w:rsidRDefault="005F591A" w:rsidP="001C0B70">
            <w:pPr>
              <w:jc w:val="both"/>
              <w:rPr>
                <w:rFonts w:cs="Times New Roman"/>
                <w:b/>
                <w:sz w:val="24"/>
                <w:szCs w:val="24"/>
              </w:rPr>
            </w:pPr>
          </w:p>
        </w:tc>
        <w:tc>
          <w:tcPr>
            <w:tcW w:w="8789" w:type="dxa"/>
          </w:tcPr>
          <w:p w:rsidR="005F591A" w:rsidRPr="00362417" w:rsidRDefault="005F591A" w:rsidP="001C0B70">
            <w:pPr>
              <w:jc w:val="both"/>
              <w:rPr>
                <w:rFonts w:cs="Times New Roman"/>
                <w:sz w:val="24"/>
                <w:szCs w:val="24"/>
              </w:rPr>
            </w:pPr>
          </w:p>
        </w:tc>
      </w:tr>
      <w:tr w:rsidR="005F591A" w:rsidRPr="00362417" w:rsidTr="006F5EEB">
        <w:trPr>
          <w:jc w:val="center"/>
        </w:trPr>
        <w:tc>
          <w:tcPr>
            <w:tcW w:w="562" w:type="dxa"/>
          </w:tcPr>
          <w:p w:rsidR="005F591A" w:rsidRPr="00362417" w:rsidRDefault="005F591A" w:rsidP="001C0B70">
            <w:pPr>
              <w:jc w:val="both"/>
              <w:rPr>
                <w:rFonts w:cs="Times New Roman"/>
                <w:b/>
                <w:sz w:val="24"/>
                <w:szCs w:val="24"/>
              </w:rPr>
            </w:pPr>
          </w:p>
        </w:tc>
        <w:tc>
          <w:tcPr>
            <w:tcW w:w="8789" w:type="dxa"/>
          </w:tcPr>
          <w:p w:rsidR="005F591A" w:rsidRPr="00362417" w:rsidRDefault="005F591A" w:rsidP="001C0B70">
            <w:pPr>
              <w:jc w:val="both"/>
              <w:rPr>
                <w:rFonts w:cs="Times New Roman"/>
                <w:sz w:val="24"/>
                <w:szCs w:val="24"/>
              </w:rPr>
            </w:pP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24</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Czy w kategorii wydatków majątkowych należałoby uwzględnić wydatki bieżące związane z remontami?</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25</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Kompleks pytań związanych ze strategią finansową jednostek samorządu terytorialnego, dotyczący indywidualnego wskaźnika zadłużenia, [problemy 19-25]:</w:t>
            </w:r>
          </w:p>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Uproszczenie/zmniejszenie zawartości informacyjnej oraz skrócenie okresu obowiązywania WPF, tj. ograniczenie zakresu danych określonych w Rozporządzen</w:t>
            </w:r>
            <w:r w:rsidR="00BE374E">
              <w:rPr>
                <w:rFonts w:eastAsia="Times New Roman" w:cs="Times New Roman"/>
                <w:sz w:val="24"/>
                <w:szCs w:val="24"/>
                <w:lang w:eastAsia="pl-PL"/>
              </w:rPr>
              <w:t>iu MF do zapisów art. 226 ust. o</w:t>
            </w:r>
            <w:r w:rsidRPr="00362417">
              <w:rPr>
                <w:rFonts w:eastAsia="Times New Roman" w:cs="Times New Roman"/>
                <w:sz w:val="24"/>
                <w:szCs w:val="24"/>
                <w:lang w:eastAsia="pl-PL"/>
              </w:rPr>
              <w:t xml:space="preserve"> fin. publ. z uwagi na brak czytelności informacji w WPF oraz brak zasadności sporządzania WPF na okresy dłuższe niż Wieloletni Plan Finansowy państwa [tj. 4 lata], co przy braku odpowiednich danych makroekonomicznych i częste zmiany w otoczeniu w jakim funkcjonują samorządy uniemożliwia sporządzenie prognoz mających podstawy elementarnej realności.</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26</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Wątpliwości budzi zasadność konstrukcji indywidualnego wskaźnika zadłużenia wynikającego z treści art. 243 uofp, w oparciu o dochody ogółem, a nie w odniesieniu do dochodów własnych. Powoduje to niekorzystną relację tego wskaźnika dla poszczególnych jst.</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27</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eastAsia="Times New Roman" w:cs="Times New Roman"/>
                <w:sz w:val="24"/>
                <w:szCs w:val="24"/>
                <w:lang w:eastAsia="pl-PL"/>
              </w:rPr>
              <w:t>JST nie posiadają narzędzi prawnych umożliwiających skuteczną kontrolę informacji sporządzonych przez podatników CIT. Może to wpłynąć na występowanie błędów w podziale wpływów z CIT, a w efekcie możliwość ewentualnego uszczuplenia dochodów własnych jst.</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lastRenderedPageBreak/>
              <w:t>28</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 xml:space="preserve">Istnieje wątpliwość, czy w wyniku niezłożenia lub złożenia błędnej informacji CIT-ST </w:t>
            </w:r>
            <w:r w:rsidRPr="00362417">
              <w:rPr>
                <w:rFonts w:cs="Times New Roman"/>
                <w:sz w:val="24"/>
                <w:szCs w:val="24"/>
              </w:rPr>
              <w:t xml:space="preserve"> przez podatnika, może dojść do niewłaściwego podziału przez urzędy skarbowe dochodów  z tytułu udziałów we wpływach z CIT, </w:t>
            </w:r>
            <w:r w:rsidRPr="00362417">
              <w:rPr>
                <w:rFonts w:eastAsia="Times New Roman" w:cs="Times New Roman"/>
                <w:sz w:val="24"/>
                <w:szCs w:val="24"/>
                <w:lang w:eastAsia="pl-PL"/>
              </w:rPr>
              <w:t xml:space="preserve"> a w efekcie możliwość ewentualnego uszczuplenia dochodów własnych jst.</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29</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JST nie posiadają narzędzi prawnych umożliwiających skuteczną kontrolę informacji sporządzonych przez podatników CIT. Może to wpłynąć na występowanie błędów w podziale wpływów z CIT, a w efekcie możliwość ewentualnego uszczuplenia dochodów własnych jst.</w:t>
            </w:r>
          </w:p>
          <w:p w:rsidR="005F591A" w:rsidRPr="00362417" w:rsidRDefault="005F591A" w:rsidP="001C0B70">
            <w:pPr>
              <w:jc w:val="both"/>
              <w:rPr>
                <w:rFonts w:cs="Times New Roman"/>
                <w:sz w:val="24"/>
                <w:szCs w:val="24"/>
              </w:rPr>
            </w:pPr>
            <w:r w:rsidRPr="00362417">
              <w:rPr>
                <w:rFonts w:eastAsia="Times New Roman" w:cs="Times New Roman"/>
                <w:sz w:val="24"/>
                <w:szCs w:val="24"/>
                <w:lang w:eastAsia="pl-PL"/>
              </w:rPr>
              <w:t>Czy nie należałoby wyposażyć jst w skuteczne instrumenty kontroli informacji, ewentualnie jst i odpowiednich organów KAS</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30</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 xml:space="preserve">Czy nie należałoby rozszerzyć prawnych kompetencji [upoważnień] wójtów, burmistrzów, prezydentów oraz zarządów powiatów i województw, w zakresie dokonywania zmian w budżecie jednorocznym [m.in. w zakresie środków na realizację programów operacyjnych dla których jst są Instytucją Zarządzającą lub Pośrednia, czy też w zakresie zmian kwot subwencji w wyniku podziału rezerw subwencji ogólnej w ramach zadań już ujętych w budżecie].  </w:t>
            </w:r>
          </w:p>
        </w:tc>
      </w:tr>
      <w:tr w:rsidR="005F591A" w:rsidRPr="00362417" w:rsidTr="006F5EEB">
        <w:trPr>
          <w:jc w:val="center"/>
        </w:trPr>
        <w:tc>
          <w:tcPr>
            <w:tcW w:w="562" w:type="dxa"/>
          </w:tcPr>
          <w:p w:rsidR="005F591A" w:rsidRPr="00362417" w:rsidRDefault="00DB61A3" w:rsidP="001C0B70">
            <w:pPr>
              <w:jc w:val="both"/>
              <w:rPr>
                <w:rFonts w:cs="Times New Roman"/>
                <w:b/>
                <w:sz w:val="24"/>
                <w:szCs w:val="24"/>
              </w:rPr>
            </w:pPr>
            <w:r w:rsidRPr="00362417">
              <w:rPr>
                <w:rFonts w:cs="Times New Roman"/>
                <w:b/>
                <w:sz w:val="24"/>
                <w:szCs w:val="24"/>
              </w:rPr>
              <w:t>31</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eastAsia="Times New Roman" w:cs="Times New Roman"/>
                <w:sz w:val="24"/>
                <w:szCs w:val="24"/>
                <w:lang w:eastAsia="pl-PL"/>
              </w:rPr>
              <w:t xml:space="preserve">Jakie jest prawno-finansowe uzasadnienie wydawania olbrzymich środków na różne rodzaje budownictwa komunalnego [w tym socjalnego]. A przy tym tak zwane „dziedziczenie” prawa najmu przez rodzinę osoby, która takie prawo posiada lub posiadała za życia? Oczywiście formalnie jest to niemożliwe, ale praktyka wykazuje  znaczny stopień łatwości w rzeczywistym przejmowaniu prawa do najmu lokali komunalnych przez członków rodziny [pomijam iż często następuje to tylko w celu sprzedaży lokalu]. </w:t>
            </w:r>
            <w:r w:rsidR="008A73D5" w:rsidRPr="00362417">
              <w:rPr>
                <w:rFonts w:eastAsia="Times New Roman" w:cs="Times New Roman"/>
                <w:sz w:val="24"/>
                <w:szCs w:val="24"/>
                <w:lang w:eastAsia="pl-PL"/>
              </w:rPr>
              <w:t>Czy</w:t>
            </w:r>
            <w:r w:rsidRPr="00362417">
              <w:rPr>
                <w:rFonts w:eastAsia="Times New Roman" w:cs="Times New Roman"/>
                <w:sz w:val="24"/>
                <w:szCs w:val="24"/>
                <w:lang w:eastAsia="pl-PL"/>
              </w:rPr>
              <w:t xml:space="preserve"> są</w:t>
            </w:r>
            <w:r w:rsidR="00B94947" w:rsidRPr="00362417">
              <w:rPr>
                <w:rFonts w:eastAsia="Times New Roman" w:cs="Times New Roman"/>
                <w:sz w:val="24"/>
                <w:szCs w:val="24"/>
                <w:lang w:eastAsia="pl-PL"/>
              </w:rPr>
              <w:t xml:space="preserve"> </w:t>
            </w:r>
            <w:r w:rsidR="008A73D5" w:rsidRPr="00362417">
              <w:rPr>
                <w:rFonts w:eastAsia="Times New Roman" w:cs="Times New Roman"/>
                <w:sz w:val="24"/>
                <w:szCs w:val="24"/>
                <w:lang w:eastAsia="pl-PL"/>
              </w:rPr>
              <w:t>szacowane</w:t>
            </w:r>
            <w:r w:rsidRPr="00362417">
              <w:rPr>
                <w:rFonts w:eastAsia="Times New Roman" w:cs="Times New Roman"/>
                <w:sz w:val="24"/>
                <w:szCs w:val="24"/>
                <w:lang w:eastAsia="pl-PL"/>
              </w:rPr>
              <w:t xml:space="preserve"> straty jst w wyniku tego procederu. </w:t>
            </w:r>
          </w:p>
        </w:tc>
      </w:tr>
      <w:tr w:rsidR="005F591A" w:rsidRPr="00362417" w:rsidTr="006F5EEB">
        <w:trPr>
          <w:jc w:val="center"/>
        </w:trPr>
        <w:tc>
          <w:tcPr>
            <w:tcW w:w="562" w:type="dxa"/>
          </w:tcPr>
          <w:p w:rsidR="005F591A" w:rsidRPr="00362417" w:rsidRDefault="002F1597" w:rsidP="001C0B70">
            <w:pPr>
              <w:jc w:val="both"/>
              <w:rPr>
                <w:rFonts w:cs="Times New Roman"/>
                <w:b/>
                <w:sz w:val="24"/>
                <w:szCs w:val="24"/>
              </w:rPr>
            </w:pPr>
            <w:r w:rsidRPr="00362417">
              <w:rPr>
                <w:rFonts w:cs="Times New Roman"/>
                <w:b/>
                <w:sz w:val="24"/>
                <w:szCs w:val="24"/>
              </w:rPr>
              <w:t>32</w:t>
            </w:r>
            <w:r w:rsidR="005F591A" w:rsidRPr="00362417">
              <w:rPr>
                <w:rFonts w:cs="Times New Roman"/>
                <w:b/>
                <w:sz w:val="24"/>
                <w:szCs w:val="24"/>
              </w:rPr>
              <w:t>.</w:t>
            </w:r>
          </w:p>
        </w:tc>
        <w:tc>
          <w:tcPr>
            <w:tcW w:w="8789" w:type="dxa"/>
          </w:tcPr>
          <w:p w:rsidR="005F591A" w:rsidRPr="00362417" w:rsidRDefault="005F591A" w:rsidP="001C0B70">
            <w:pPr>
              <w:jc w:val="both"/>
              <w:rPr>
                <w:rFonts w:eastAsia="Times New Roman" w:cs="Times New Roman"/>
                <w:sz w:val="24"/>
                <w:szCs w:val="24"/>
                <w:lang w:eastAsia="pl-PL"/>
              </w:rPr>
            </w:pPr>
            <w:r w:rsidRPr="00362417">
              <w:rPr>
                <w:rFonts w:cs="Times New Roman"/>
                <w:sz w:val="24"/>
                <w:szCs w:val="24"/>
              </w:rPr>
              <w:t>Dlaczego umożliwia się „obchodzenie” prawa i praktyczne sprzedawanie mieszkań komunalnych za cenę rynkową [z upustem na koszt „wykupienia” go od jst] ze szkodą dla skarbu gminy. Jakie są możliwości prawne przeciwdziałania takim procederom.</w:t>
            </w:r>
          </w:p>
        </w:tc>
      </w:tr>
      <w:tr w:rsidR="005F591A" w:rsidRPr="00362417" w:rsidTr="006F5EEB">
        <w:trPr>
          <w:jc w:val="center"/>
        </w:trPr>
        <w:tc>
          <w:tcPr>
            <w:tcW w:w="562" w:type="dxa"/>
          </w:tcPr>
          <w:p w:rsidR="005F591A" w:rsidRPr="00362417" w:rsidRDefault="002F1597" w:rsidP="001C0B70">
            <w:pPr>
              <w:jc w:val="both"/>
              <w:rPr>
                <w:rFonts w:cs="Times New Roman"/>
                <w:b/>
                <w:sz w:val="24"/>
                <w:szCs w:val="24"/>
              </w:rPr>
            </w:pPr>
            <w:r w:rsidRPr="00362417">
              <w:rPr>
                <w:rFonts w:cs="Times New Roman"/>
                <w:b/>
                <w:sz w:val="24"/>
                <w:szCs w:val="24"/>
              </w:rPr>
              <w:t>33</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Brak przepisów doprecyzowujących zasady ewidencjonowania i ujmowania w sprawozdaniu Rb-28S zwrotów dotacji dokonanych w okresie przejściowym od 1 do 31 stycznia w budżecie jst.</w:t>
            </w:r>
          </w:p>
        </w:tc>
      </w:tr>
      <w:tr w:rsidR="005F591A" w:rsidRPr="00362417" w:rsidTr="006F5EEB">
        <w:trPr>
          <w:jc w:val="center"/>
        </w:trPr>
        <w:tc>
          <w:tcPr>
            <w:tcW w:w="562" w:type="dxa"/>
          </w:tcPr>
          <w:p w:rsidR="005F591A" w:rsidRPr="00362417" w:rsidRDefault="002F1597" w:rsidP="001C0B70">
            <w:pPr>
              <w:jc w:val="both"/>
              <w:rPr>
                <w:rFonts w:cs="Times New Roman"/>
                <w:b/>
                <w:sz w:val="24"/>
                <w:szCs w:val="24"/>
              </w:rPr>
            </w:pPr>
            <w:r w:rsidRPr="00362417">
              <w:rPr>
                <w:rFonts w:cs="Times New Roman"/>
                <w:b/>
                <w:sz w:val="24"/>
                <w:szCs w:val="24"/>
              </w:rPr>
              <w:t>34</w:t>
            </w:r>
            <w:r w:rsidR="005F591A"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JST nie posiadają możliwości prawnej [umocowania] do umarzania należności pieniężnych o charakterze publicznoprawnym z urzędu. Art. 64 ust 1. uofp reguluje jedynie kwestię uprawnień jst do umarzania należności przy ograniczających samorządy regulacjach wynikających z art. 5. Ust. o odpowiedzialności z tytułu naruszenia finansów publicznych, wskazujących, iż niezgodne z przepisami umarzanie należności stanowi naruszenie dyscypliny finansów publicznych. Jst znajduje się zatem w swoistym klinczu decyzyjnym.</w:t>
            </w:r>
          </w:p>
        </w:tc>
      </w:tr>
      <w:tr w:rsidR="005F591A" w:rsidRPr="00362417" w:rsidTr="006F5EEB">
        <w:trPr>
          <w:jc w:val="center"/>
        </w:trPr>
        <w:tc>
          <w:tcPr>
            <w:tcW w:w="562" w:type="dxa"/>
          </w:tcPr>
          <w:p w:rsidR="005F591A" w:rsidRPr="00362417" w:rsidRDefault="005F591A" w:rsidP="001C0B70">
            <w:pPr>
              <w:jc w:val="both"/>
              <w:rPr>
                <w:rFonts w:cs="Times New Roman"/>
                <w:b/>
                <w:sz w:val="24"/>
                <w:szCs w:val="24"/>
              </w:rPr>
            </w:pPr>
            <w:r w:rsidRPr="00362417">
              <w:rPr>
                <w:rFonts w:cs="Times New Roman"/>
                <w:b/>
                <w:sz w:val="24"/>
                <w:szCs w:val="24"/>
              </w:rPr>
              <w:t>3</w:t>
            </w:r>
            <w:r w:rsidR="002F1597" w:rsidRPr="00362417">
              <w:rPr>
                <w:rFonts w:cs="Times New Roman"/>
                <w:b/>
                <w:sz w:val="24"/>
                <w:szCs w:val="24"/>
              </w:rPr>
              <w:t>5</w:t>
            </w:r>
            <w:r w:rsidRPr="00362417">
              <w:rPr>
                <w:rFonts w:cs="Times New Roman"/>
                <w:b/>
                <w:sz w:val="24"/>
                <w:szCs w:val="24"/>
              </w:rPr>
              <w:t>.</w:t>
            </w:r>
          </w:p>
        </w:tc>
        <w:tc>
          <w:tcPr>
            <w:tcW w:w="8789" w:type="dxa"/>
          </w:tcPr>
          <w:p w:rsidR="005F591A" w:rsidRPr="00362417" w:rsidRDefault="005F591A" w:rsidP="001C0B70">
            <w:pPr>
              <w:jc w:val="both"/>
              <w:rPr>
                <w:rFonts w:cs="Times New Roman"/>
                <w:sz w:val="24"/>
                <w:szCs w:val="24"/>
              </w:rPr>
            </w:pPr>
            <w:r w:rsidRPr="00362417">
              <w:rPr>
                <w:rFonts w:cs="Times New Roman"/>
                <w:sz w:val="24"/>
                <w:szCs w:val="24"/>
              </w:rPr>
              <w:t xml:space="preserve">Niepisaną zasadą w przypadku różnego rodzaju szkód, spowodowanych przez jst lub ich jednostki podległe, w mieniu osób i innych podmiotów, w wyniku awarii [np. sieci wodnej, kanalizacji, dróg, itp.], wypadków, robót na obrzeżach prywatnych nieruchomości itp., jest usuwanie ich w ramach tak zwanego „przywracania stanu poprzedniego” [z przed szkody]. </w:t>
            </w:r>
          </w:p>
          <w:p w:rsidR="005F591A" w:rsidRPr="00362417" w:rsidRDefault="005F591A" w:rsidP="001C0B70">
            <w:pPr>
              <w:jc w:val="both"/>
              <w:rPr>
                <w:rFonts w:cs="Times New Roman"/>
                <w:sz w:val="24"/>
                <w:szCs w:val="24"/>
              </w:rPr>
            </w:pPr>
            <w:r w:rsidRPr="00362417">
              <w:rPr>
                <w:rFonts w:cs="Times New Roman"/>
                <w:sz w:val="24"/>
                <w:szCs w:val="24"/>
              </w:rPr>
              <w:t>Czy rzeczywiście prawa osób poszkodowanych ograniczone są jedynie do „prostej” naprawy zniszczeń? Czy też często wielotygodniowe utrudnienia w korzystaniu z nieruchomości, lub przedmiotów, urządzeń, które zostały uszkodzone lub zniszczone [pomijam tu lucrum cesans] nie podlegają żadnej formie zadośćuczynienia?</w:t>
            </w:r>
          </w:p>
          <w:p w:rsidR="005F591A" w:rsidRPr="00362417" w:rsidRDefault="005F591A" w:rsidP="001C0B70">
            <w:pPr>
              <w:jc w:val="both"/>
              <w:rPr>
                <w:rFonts w:cs="Times New Roman"/>
                <w:sz w:val="24"/>
                <w:szCs w:val="24"/>
              </w:rPr>
            </w:pPr>
            <w:r w:rsidRPr="00362417">
              <w:rPr>
                <w:rFonts w:cs="Times New Roman"/>
                <w:sz w:val="24"/>
                <w:szCs w:val="24"/>
              </w:rPr>
              <w:t xml:space="preserve">Na jakiej podstawie prawnej jst lub ich jednostki mogłyby ewentualnie zadośćuczynić żądaniom poszkodowanych, które są bardzo różne, od skromnych do bardzo znacznych. </w:t>
            </w:r>
          </w:p>
        </w:tc>
      </w:tr>
      <w:tr w:rsidR="00C46C47" w:rsidRPr="00362417" w:rsidTr="006F5EEB">
        <w:trPr>
          <w:jc w:val="center"/>
        </w:trPr>
        <w:tc>
          <w:tcPr>
            <w:tcW w:w="562" w:type="dxa"/>
          </w:tcPr>
          <w:p w:rsidR="00C46C47" w:rsidRPr="00362417" w:rsidRDefault="002F1597" w:rsidP="001C0B70">
            <w:pPr>
              <w:jc w:val="both"/>
              <w:rPr>
                <w:rFonts w:cs="Times New Roman"/>
                <w:b/>
                <w:sz w:val="24"/>
                <w:szCs w:val="24"/>
              </w:rPr>
            </w:pPr>
            <w:r w:rsidRPr="00362417">
              <w:rPr>
                <w:rFonts w:cs="Times New Roman"/>
                <w:b/>
                <w:sz w:val="24"/>
                <w:szCs w:val="24"/>
              </w:rPr>
              <w:t>36.</w:t>
            </w:r>
          </w:p>
        </w:tc>
        <w:tc>
          <w:tcPr>
            <w:tcW w:w="8789" w:type="dxa"/>
          </w:tcPr>
          <w:p w:rsidR="00C46C47" w:rsidRPr="00362417" w:rsidRDefault="006410C1" w:rsidP="001C0B70">
            <w:pPr>
              <w:jc w:val="both"/>
              <w:rPr>
                <w:rFonts w:cs="Times New Roman"/>
                <w:sz w:val="24"/>
                <w:szCs w:val="24"/>
              </w:rPr>
            </w:pPr>
            <w:r w:rsidRPr="00362417">
              <w:rPr>
                <w:rFonts w:cs="Times New Roman"/>
                <w:sz w:val="24"/>
                <w:szCs w:val="24"/>
              </w:rPr>
              <w:t>Często zdarza się, iż przez posesje prywatne przebiegają linie wodociągów, deszczówki, gazu</w:t>
            </w:r>
            <w:r w:rsidR="00F74AAD" w:rsidRPr="00362417">
              <w:rPr>
                <w:rFonts w:cs="Times New Roman"/>
                <w:sz w:val="24"/>
                <w:szCs w:val="24"/>
              </w:rPr>
              <w:t xml:space="preserve">, itp. Powszechną praktyką jest, ze odpowiednie instytucje zawiadujące nimi, nie mają z właścicielami, dzierżawcami, użytkownikami, itp., </w:t>
            </w:r>
            <w:r w:rsidR="009725B1" w:rsidRPr="00362417">
              <w:rPr>
                <w:rFonts w:cs="Times New Roman"/>
                <w:sz w:val="24"/>
                <w:szCs w:val="24"/>
              </w:rPr>
              <w:t>żadnych</w:t>
            </w:r>
            <w:r w:rsidR="00F74AAD" w:rsidRPr="00362417">
              <w:rPr>
                <w:rFonts w:cs="Times New Roman"/>
                <w:sz w:val="24"/>
                <w:szCs w:val="24"/>
              </w:rPr>
              <w:t xml:space="preserve"> umów na temat korzystania </w:t>
            </w:r>
            <w:r w:rsidR="00F74AAD" w:rsidRPr="00362417">
              <w:rPr>
                <w:rFonts w:cs="Times New Roman"/>
                <w:sz w:val="24"/>
                <w:szCs w:val="24"/>
              </w:rPr>
              <w:lastRenderedPageBreak/>
              <w:t xml:space="preserve">z ich posesji. </w:t>
            </w:r>
            <w:r w:rsidR="000F5F6C" w:rsidRPr="00362417">
              <w:rPr>
                <w:rFonts w:cs="Times New Roman"/>
                <w:sz w:val="24"/>
                <w:szCs w:val="24"/>
              </w:rPr>
              <w:t>Z jednej strony pobierają od nich jako swoich klientów opłaty za przesył określonych dóbr [wody, gazu, energii cieplnej itd.] a z drugiej nie uiszczają opłat za często bezumowne korzystanie z posesji</w:t>
            </w:r>
            <w:r w:rsidR="00883A5D" w:rsidRPr="00362417">
              <w:rPr>
                <w:rFonts w:cs="Times New Roman"/>
                <w:sz w:val="24"/>
                <w:szCs w:val="24"/>
              </w:rPr>
              <w:t xml:space="preserve"> prywatnych. Bywa ze nie tylko taki uszczerbek powstaje, ale także na przykład niemożność rozbudowy posesji ze względu na przebiegające w/w instalacje. </w:t>
            </w:r>
          </w:p>
          <w:p w:rsidR="00C0054E" w:rsidRPr="00362417" w:rsidRDefault="00C0054E" w:rsidP="001C0B70">
            <w:pPr>
              <w:jc w:val="both"/>
              <w:rPr>
                <w:rFonts w:cs="Times New Roman"/>
                <w:sz w:val="24"/>
                <w:szCs w:val="24"/>
              </w:rPr>
            </w:pPr>
            <w:r w:rsidRPr="00362417">
              <w:rPr>
                <w:rFonts w:cs="Times New Roman"/>
                <w:sz w:val="24"/>
                <w:szCs w:val="24"/>
              </w:rPr>
              <w:t xml:space="preserve">Czy nie powinno być tak, ze gmina winna wspierać swych mieszkańców w tych sprawach, a jeśli </w:t>
            </w:r>
            <w:r w:rsidR="009725B1" w:rsidRPr="00362417">
              <w:rPr>
                <w:rFonts w:cs="Times New Roman"/>
                <w:sz w:val="24"/>
                <w:szCs w:val="24"/>
              </w:rPr>
              <w:t>instytucje nadużywające o</w:t>
            </w:r>
            <w:r w:rsidRPr="00362417">
              <w:rPr>
                <w:rFonts w:cs="Times New Roman"/>
                <w:sz w:val="24"/>
                <w:szCs w:val="24"/>
              </w:rPr>
              <w:t>w</w:t>
            </w:r>
            <w:r w:rsidR="009725B1" w:rsidRPr="00362417">
              <w:rPr>
                <w:rFonts w:cs="Times New Roman"/>
                <w:sz w:val="24"/>
                <w:szCs w:val="24"/>
              </w:rPr>
              <w:t>e</w:t>
            </w:r>
            <w:r w:rsidRPr="00362417">
              <w:rPr>
                <w:rFonts w:cs="Times New Roman"/>
                <w:sz w:val="24"/>
                <w:szCs w:val="24"/>
              </w:rPr>
              <w:t xml:space="preserve">go „prawa” są </w:t>
            </w:r>
            <w:r w:rsidR="009725B1" w:rsidRPr="00362417">
              <w:rPr>
                <w:rFonts w:cs="Times New Roman"/>
                <w:sz w:val="24"/>
                <w:szCs w:val="24"/>
              </w:rPr>
              <w:t>gminne [międzygminne] powinna z urzędu wystąpić o tego typu regulacje?</w:t>
            </w:r>
          </w:p>
        </w:tc>
      </w:tr>
      <w:tr w:rsidR="006B5086" w:rsidRPr="00362417" w:rsidTr="006F5EEB">
        <w:tblPrEx>
          <w:jc w:val="left"/>
        </w:tblPrEx>
        <w:tc>
          <w:tcPr>
            <w:tcW w:w="562" w:type="dxa"/>
          </w:tcPr>
          <w:p w:rsidR="006B5086" w:rsidRPr="00362417" w:rsidRDefault="002F1597" w:rsidP="001C0B70">
            <w:pPr>
              <w:jc w:val="both"/>
              <w:rPr>
                <w:rFonts w:cs="Times New Roman"/>
                <w:b/>
                <w:sz w:val="24"/>
                <w:szCs w:val="24"/>
              </w:rPr>
            </w:pPr>
            <w:r w:rsidRPr="00362417">
              <w:rPr>
                <w:rFonts w:cs="Times New Roman"/>
                <w:b/>
                <w:sz w:val="24"/>
                <w:szCs w:val="24"/>
              </w:rPr>
              <w:lastRenderedPageBreak/>
              <w:t>37</w:t>
            </w:r>
            <w:r w:rsidR="006B5086" w:rsidRPr="00362417">
              <w:rPr>
                <w:rFonts w:cs="Times New Roman"/>
                <w:b/>
                <w:sz w:val="24"/>
                <w:szCs w:val="24"/>
              </w:rPr>
              <w:t>.</w:t>
            </w:r>
          </w:p>
        </w:tc>
        <w:tc>
          <w:tcPr>
            <w:tcW w:w="8789" w:type="dxa"/>
          </w:tcPr>
          <w:p w:rsidR="006B5086" w:rsidRPr="00362417" w:rsidRDefault="006B5086" w:rsidP="001C0B70">
            <w:pPr>
              <w:jc w:val="both"/>
              <w:rPr>
                <w:rFonts w:cs="Times New Roman"/>
                <w:sz w:val="24"/>
                <w:szCs w:val="24"/>
              </w:rPr>
            </w:pPr>
            <w:r w:rsidRPr="00362417">
              <w:rPr>
                <w:rFonts w:cs="Times New Roman"/>
                <w:sz w:val="24"/>
                <w:szCs w:val="24"/>
              </w:rPr>
              <w:t>Jaka jest różnica  odpowiedzialności jst za długi zoz-ów przed  i po przekształceniu w spółkę. A jaka jest w tzw. zapewnieniu dostępu do usług medycznych. A jeśli spółka zbankrutuje i przejmą ją wierzyciele, a w miejscu szpitala/przychodni postawią centrum handlowe, to kto zapewni odpowiednią ofertę usług?  Czy samorząd będzie musiał zbudować nowy szpital/przychodnię, za pieniądze podatników?</w:t>
            </w:r>
          </w:p>
        </w:tc>
      </w:tr>
      <w:tr w:rsidR="006B5086" w:rsidRPr="00362417" w:rsidTr="006F5EEB">
        <w:tblPrEx>
          <w:jc w:val="left"/>
        </w:tblPrEx>
        <w:tc>
          <w:tcPr>
            <w:tcW w:w="562" w:type="dxa"/>
          </w:tcPr>
          <w:p w:rsidR="006B5086" w:rsidRPr="00362417" w:rsidRDefault="002F1597" w:rsidP="001C0B70">
            <w:pPr>
              <w:jc w:val="both"/>
              <w:rPr>
                <w:rFonts w:cs="Times New Roman"/>
                <w:b/>
                <w:sz w:val="24"/>
                <w:szCs w:val="24"/>
              </w:rPr>
            </w:pPr>
            <w:r w:rsidRPr="00362417">
              <w:rPr>
                <w:rFonts w:cs="Times New Roman"/>
                <w:b/>
                <w:sz w:val="24"/>
                <w:szCs w:val="24"/>
              </w:rPr>
              <w:t>38</w:t>
            </w:r>
            <w:r w:rsidR="006B5086" w:rsidRPr="00362417">
              <w:rPr>
                <w:rFonts w:cs="Times New Roman"/>
                <w:b/>
                <w:sz w:val="24"/>
                <w:szCs w:val="24"/>
              </w:rPr>
              <w:t>.</w:t>
            </w:r>
          </w:p>
        </w:tc>
        <w:tc>
          <w:tcPr>
            <w:tcW w:w="8789" w:type="dxa"/>
          </w:tcPr>
          <w:p w:rsidR="006B5086" w:rsidRPr="00362417" w:rsidRDefault="006B5086" w:rsidP="001C0B70">
            <w:pPr>
              <w:jc w:val="both"/>
              <w:rPr>
                <w:rFonts w:cs="Times New Roman"/>
                <w:sz w:val="24"/>
                <w:szCs w:val="24"/>
              </w:rPr>
            </w:pPr>
            <w:r w:rsidRPr="00362417">
              <w:rPr>
                <w:rFonts w:cs="Times New Roman"/>
                <w:sz w:val="24"/>
                <w:szCs w:val="24"/>
              </w:rPr>
              <w:t>Jaka jest podstawa prawna na której opiera się obowiązek ponoszenia przez gminy kosztów pobytu w schronisku osób eksmitowanych, którym nie przyznano prawa do lokalu socjalnego bądź pomieszczenia tymczasowego.</w:t>
            </w:r>
          </w:p>
        </w:tc>
      </w:tr>
    </w:tbl>
    <w:p w:rsidR="00EF242A" w:rsidRDefault="00EF242A"/>
    <w:sectPr w:rsidR="00EF24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11" w:rsidRDefault="00602511" w:rsidP="002D5616">
      <w:r>
        <w:separator/>
      </w:r>
    </w:p>
  </w:endnote>
  <w:endnote w:type="continuationSeparator" w:id="0">
    <w:p w:rsidR="00602511" w:rsidRDefault="00602511" w:rsidP="002D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11" w:rsidRDefault="00602511" w:rsidP="002D5616">
      <w:r>
        <w:separator/>
      </w:r>
    </w:p>
  </w:footnote>
  <w:footnote w:type="continuationSeparator" w:id="0">
    <w:p w:rsidR="00602511" w:rsidRDefault="00602511" w:rsidP="002D5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B10C2"/>
    <w:multiLevelType w:val="hybridMultilevel"/>
    <w:tmpl w:val="31029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6638C4"/>
    <w:multiLevelType w:val="hybridMultilevel"/>
    <w:tmpl w:val="74DA32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2256CD"/>
    <w:multiLevelType w:val="hybridMultilevel"/>
    <w:tmpl w:val="8800C7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D3"/>
    <w:rsid w:val="0004217C"/>
    <w:rsid w:val="000F5F6C"/>
    <w:rsid w:val="00177869"/>
    <w:rsid w:val="001958C8"/>
    <w:rsid w:val="001C0B70"/>
    <w:rsid w:val="00251D07"/>
    <w:rsid w:val="002D5616"/>
    <w:rsid w:val="002F1597"/>
    <w:rsid w:val="0033676B"/>
    <w:rsid w:val="00362417"/>
    <w:rsid w:val="004A4552"/>
    <w:rsid w:val="005F591A"/>
    <w:rsid w:val="00602511"/>
    <w:rsid w:val="006410C1"/>
    <w:rsid w:val="0064318D"/>
    <w:rsid w:val="0068101B"/>
    <w:rsid w:val="006B5086"/>
    <w:rsid w:val="006F5EEB"/>
    <w:rsid w:val="007333A0"/>
    <w:rsid w:val="00883A5D"/>
    <w:rsid w:val="008A73D5"/>
    <w:rsid w:val="008B6A60"/>
    <w:rsid w:val="008C3C32"/>
    <w:rsid w:val="009725B1"/>
    <w:rsid w:val="00A17650"/>
    <w:rsid w:val="00A36E0C"/>
    <w:rsid w:val="00B15DD3"/>
    <w:rsid w:val="00B94947"/>
    <w:rsid w:val="00BD652E"/>
    <w:rsid w:val="00BE374E"/>
    <w:rsid w:val="00C0054E"/>
    <w:rsid w:val="00C147D4"/>
    <w:rsid w:val="00C46C47"/>
    <w:rsid w:val="00C5388B"/>
    <w:rsid w:val="00D522F0"/>
    <w:rsid w:val="00D94E37"/>
    <w:rsid w:val="00DB61A3"/>
    <w:rsid w:val="00DC5789"/>
    <w:rsid w:val="00DE1AB3"/>
    <w:rsid w:val="00DE5F8E"/>
    <w:rsid w:val="00EF242A"/>
    <w:rsid w:val="00F037E6"/>
    <w:rsid w:val="00F74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F990-D155-42CA-BD7F-4150D183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52E"/>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5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nhideWhenUsed/>
    <w:rsid w:val="002D5616"/>
    <w:rPr>
      <w:rFonts w:asciiTheme="minorHAnsi" w:hAnsiTheme="minorHAnsi"/>
      <w:sz w:val="20"/>
      <w:szCs w:val="20"/>
    </w:rPr>
  </w:style>
  <w:style w:type="character" w:customStyle="1" w:styleId="TekstprzypisudolnegoZnak">
    <w:name w:val="Tekst przypisu dolnego Znak"/>
    <w:basedOn w:val="Domylnaczcionkaakapitu"/>
    <w:link w:val="Tekstprzypisudolnego"/>
    <w:rsid w:val="002D5616"/>
    <w:rPr>
      <w:sz w:val="20"/>
      <w:szCs w:val="20"/>
    </w:rPr>
  </w:style>
  <w:style w:type="character" w:styleId="Odwoanieprzypisudolnego">
    <w:name w:val="footnote reference"/>
    <w:basedOn w:val="Domylnaczcionkaakapitu"/>
    <w:unhideWhenUsed/>
    <w:rsid w:val="002D5616"/>
    <w:rPr>
      <w:vertAlign w:val="superscript"/>
    </w:rPr>
  </w:style>
  <w:style w:type="paragraph" w:styleId="Akapitzlist">
    <w:name w:val="List Paragraph"/>
    <w:basedOn w:val="Normalny"/>
    <w:uiPriority w:val="34"/>
    <w:qFormat/>
    <w:rsid w:val="004A4552"/>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22AB-A7FA-4415-8F0B-675A8477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13137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Sowiński</dc:creator>
  <cp:keywords/>
  <dc:description/>
  <cp:lastModifiedBy>Tomasz Sowiński</cp:lastModifiedBy>
  <cp:revision>2</cp:revision>
  <dcterms:created xsi:type="dcterms:W3CDTF">2019-12-13T23:15:00Z</dcterms:created>
  <dcterms:modified xsi:type="dcterms:W3CDTF">2019-12-13T23:15:00Z</dcterms:modified>
</cp:coreProperties>
</file>